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A/2191/2024 vom 12. November 2024</w:t>
      </w:r>
    </w:p>
    <w:p>
      <w:r>
        <w:t>GE Cour de justice, 2024-11-12, FR</w:t>
      </w:r>
    </w:p>
    <w:p>
      <w:r>
        <w:rPr>
          <w:b/>
        </w:rPr>
        <w:t xml:space="preserve">Quelle: </w:t>
      </w:r>
      <w:r>
        <w:t>https://mcp.opencaselaw.ch/entscheid/ge_gerichte_A_2191_2024</w:t>
      </w:r>
    </w:p>
    <w:p>
      <w:r>
        <w:t>FR: GE_GERICHTE A/2191/2024 du 12 novembre 2024</w:t>
      </w:r>
    </w:p>
    <w:p>
      <w:r>
        <w:t>IT: GE_GERICHTE A/2191/2024 del 12 novembre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ATA/884/2024 précité consid. 1.1 ; ATA/577/2014 du 29 juillet 2014 consid. 5a).</w:t>
      </w:r>
    </w:p>
    <w:p>
      <w:r>
        <w:rPr>
          <w:b/>
        </w:rPr>
        <w:t>E. 1.2</w:t>
      </w:r>
    </w:p>
    <w:p>
      <w:r>
        <w:t>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 125 V 373 consid. 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Il faut en particulier un intérêt public – voire privé – justifiant que la question litigieuse soit tranchée, en raison de l'importance de celle-ci (ATF 135 I 79 consid. 1.1 ; 131 II 361 consid. 1.2 ; 128 II 34 consid. 1b).</w:t>
      </w:r>
    </w:p>
    <w:p>
      <w:r>
        <w:rPr>
          <w:b/>
        </w:rPr>
        <w:t>E. 1.3</w:t>
      </w:r>
    </w:p>
    <w:p>
      <w:r>
        <w:t>En l'espèce, le recourant a saisi le 5 août 2024 la chambre administrative d’un recours alors même que la mesure litigieuse était entièrement exécutée, la prolongation de la mesure d'éloignement étant arrivée à échéance le 3 août dernier. S'agissant de son intérêt à recourir, le recourant a exposé notamment que les questions litigieuses revêtaient dans le présent cas une certaine importance et qu'il ne pouvait en l'état être exclu qu'une procédure au sens de la LVD fût ultérieurement à nouveau intentée par l'une des parties. Il a ajouté que le contenu du jugement querellé ainsi que la violation de ses droits – en particulier de son droit d'être entendu par l'instance inférieure – fondaient un intérêt pratique à l'admission du recours. Le jugement querellé avait par ailleurs établi de manière inexacte et incomplète les faits, lesquels seraient repris contre lui dans les procédures pénale et civile pendante et future. On viendrait lui reprocher de ne pas avoir recouru contre cet état de fait dans le cadre de la présente procédure. Par ailleurs, la chambre de céans avait admis la recevabilité du recours dans son arrêt du 25 juillet 2024, admettant implicitement son intérêt actuel. Si dans cet arrêt, la chambre de céans a en réalité laissé ouverte cette question, la situation actuelle diffère de celle qu'elle avait à trancher dans ce premier arrêt. En premier lieu, aucune nouvelle demande de prolongation de la mesure d'éloignement prise à l'encontre du recourant n'a été déposée cette fois et la procédure d'éloignement est donc terminée. De surcroît, et surtout, on ne saurait retenir que la situation pourrait ici se reproduire puisque l'intimée a quitté le domicile conjugal et qu'elle a, à plusieurs reprises, réitéré qu'elle n'entendait pas retourner vivre avec le recourant. Le fait que le bail soit toujours au nom des deux parties n'est d'aucune pertinence et l'argument du recourant selon lequel il avait dû s'acquitter du loyer d'un logement dont il n'avait pas pu jouir durant la mesure d'éloignement est exorbitant au litige s'agissant de prétentions pécuniaires. Par surabondance de moyens, il est relevé que le recourant ne soulève aucun élément de fait nouveau par rapport à son premier recours par-devant la chambre de céans, laquelle avait déjà jugé dans son ATA/884/2024 du 25 juillet dernier que le TAPI avait correctement constaté les faits. Il en va de même des éléments sur lesquels le recourant fait valoir une violation de son droit d'être entendu, la chambre de céans ayant déjà jugé qu'ils n'étaient pas pertinents, étant relevé que l' ATA/884/2024 – en l'absence de recours formé à son encontre – est entré en force. Au vu de ce qui précède, le recours sera déclaré irrecevable.</w:t>
      </w:r>
    </w:p>
    <w:p>
      <w:r>
        <w:rPr>
          <w:b/>
        </w:rPr>
        <w:t>E. 2</w:t>
      </w:r>
    </w:p>
    <w:p>
      <w:r>
        <w:t>Le recourant plaidant au bénéfice de l’assistance juridique, il ne sera pas perçu d'émolument malgré l'issue du litige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