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A/2191/2016 vom 12. April 2017</w:t>
      </w:r>
    </w:p>
    <w:p>
      <w:r>
        <w:t>GE Cour de justice, 2017-04-12, FR</w:t>
      </w:r>
    </w:p>
    <w:p>
      <w:r>
        <w:rPr>
          <w:b/>
        </w:rPr>
        <w:t xml:space="preserve">Quelle: </w:t>
      </w:r>
      <w:r>
        <w:t>https://mcp.opencaselaw.ch/entscheid/ge_gerichte_A_2191_2016</w:t>
      </w:r>
    </w:p>
    <w:p>
      <w:r>
        <w:t>FR: GE_GERICHTE A/2191/2016 du 12 avril 2017</w:t>
      </w:r>
    </w:p>
    <w:p>
      <w:r>
        <w:t>IT: GE_GERICHTE A/2191/2016 del 12 aprile 2017</w:t>
      </w:r>
    </w:p>
    <w:p>
      <w:pPr>
        <w:pStyle w:val="Heading2"/>
      </w:pPr>
      <w:r>
        <w:t>Erwägungen</w:t>
      </w:r>
    </w:p>
    <w:p>
      <w:r>
        <w:rPr>
          <w:b/>
        </w:rPr>
        <w:t>E. 9</w:t>
      </w:r>
    </w:p>
    <w:p>
      <w:r>
        <w:t>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arrêts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 arrêt du Tribunal fédéral des assurances U 315/03 du 23 novembre 2004 consid. 2.2). En outre, la cause extérieure peut être discrète et courante (ATF 116 V 145 consid. 2c ; arrêt du Tribunal fédéral des assurances U 362/06 du 4 juillet 2007 consid. 3). c. Selon la jurisprudence, l'obligation de l'assureur-accidents de prendre en charge les suites d'une lésion corporelle assimilée à un accident au sens de l'art. 9 al. 2 let. f OLAA se limite, conformément à la portée et au but de cette disposition, strictement aux déchirures de tendons, à l'exclusion de toute autre pathologie affectant les tendons, notamment celles qui concernent les tissus. Comme, du point de vue clinique, les ruptures partielles de tendons ne se différencient généralement pas des réactions inflammatoires secondaires, l'existence d'une lésion corporelle assimilée ne peut être admise qu'à la condition qu'une rupture partielle de tendon ait été objectivée médicalement de manière manifeste, que ce soit lors d'une opération ou à l'aide d'imagerie par produit de contraste. Il appartient à la personne qui requiert des prestations d'en apporter la preuve, faute de quoi elle risque de devoir en supporter l'absence (ATF 114 V 298 consid. 5c ; arrêt du Tribunal fédéral 8C_763/2015 du 11 juillet 2016 consid. 4.3). d.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![endif]&gt;![if&gt;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Les explications d'un assuré sur le déroulement d'un fait allégué sont au bénéfice d'une présomption de vraisemblance (arrêt du Tribunal fédéral des assurances U 96/05 du 20 mai 2006 consid. 3.1 ; arrêt du Tribunal fédéral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11.    En l’espèce, l’intimée considère, sur la base du rapport d’expertise du Dr I_______, qu’elle était fondée à mettre fin au versement des prestations d’assurance au 28 mai 2012. L’expert a en effet conclu, concernant les troubles du poignet droit, que le statu quo sine avait été atteint au plus tard trois mois après le sinistre. En outre, il a retenu que la limitation fonctionnelle douloureuse globale du membre supérieur droit et les atteintes présentées par le recourant au niveau de l’épaule droite n'étaient pas en rapport de causalité avec l'accident du</w:t>
      </w:r>
    </w:p>
    <w:p>
      <w:r>
        <w:rPr>
          <w:b/>
        </w:rPr>
        <w:t>E. 10</w:t>
      </w:r>
    </w:p>
    <w:p>
      <w:r>
        <w:t>octobre 2011.![endif]&gt;![if&gt; 16.    Enfin, en ce qui concerne une éventuelle atteinte à la santé psychique, force est de constater que le lien de causalité adéquate fait incontestablement défaut, l’accident subi étant de peu de gravité.![endif]&gt;![if&gt; 17.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