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A/218/2024 vom 5. Dezember 2024</w:t>
      </w:r>
    </w:p>
    <w:p>
      <w:r>
        <w:t>GE Cour de justice, 2024-12-05, FR</w:t>
      </w:r>
    </w:p>
    <w:p>
      <w:r>
        <w:rPr>
          <w:b/>
        </w:rPr>
        <w:t xml:space="preserve">Quelle: </w:t>
      </w:r>
      <w:r>
        <w:t>https://mcp.opencaselaw.ch/entscheid/ge_gerichte_A_218_2024</w:t>
      </w:r>
    </w:p>
    <w:p>
      <w:r>
        <w:t>FR: GE_GERICHTE A/218/2024 du 5 décembre 2024</w:t>
      </w:r>
    </w:p>
    <w:p>
      <w:r>
        <w:t>IT: GE_GERICHTE A/218/2024 del 5 dicembre 2024</w:t>
      </w:r>
    </w:p>
    <w:p>
      <w:pPr>
        <w:pStyle w:val="Heading2"/>
      </w:pPr>
      <w:r>
        <w:t>Erwägungen</w:t>
      </w:r>
    </w:p>
    <w:p>
      <w:r>
        <w:rPr>
          <w:b/>
        </w:rPr>
        <w:t>E. 1</w:t>
      </w:r>
    </w:p>
    <w:p>
      <w:r>
        <w:t>syndrome douloureux chronique de la jambe droite avec/en présence de tissus mous de la jambe droite traumatisés à plusieurs reprises par la fracture ouverte et de multiples opérations de révision aux dates suivantes : - 19 décembre 1996 (ostéosynthèse du tibia droit) ; - 22 avril 1998 (ablation du matériel d’ostéosynthèse de la jambe droite, résection d’une partie du nerf fibulaire profond dans la cicatrice, suivie d’une neuropathie) ; - 29 avril 1998 (débridement de la jambe droite en présence d’un hématome post-opératoire) ; - 25 février 2005 (biopsie, séquestrectomie, curetage de la cavité osseuse et mise en place d’une éponge en présence d’un séquestre osseux possible dans la jambe droite, les analyses en laboratoire n’ayant pas confirmé ce possible diagnostic) ; - 8 novembre 2018 (traitement de l’ostéomyélite par fenestration et traitement antibiotique de la jambe droite en présence d’une ostéomyélite chronique présumée du tibia droit, non confirmée par les analyses en laboratoire) ;</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prévus par la loi, compte tenu de la suspension des délais pour la période du 18 décembre au 2 janvier inclusivement (art. 38 al. 4 let. c LPGA et art. 89C let. c de la loi sur la procédure administrative du 12 septembre 1985 [LPA - E 5 10]), le recours est recevable.</w:t>
      </w:r>
    </w:p>
    <w:p>
      <w:r>
        <w:rPr>
          <w:b/>
        </w:rPr>
        <w:t>E. 2</w:t>
      </w:r>
    </w:p>
    <w:p>
      <w:r>
        <w:t>Le litige porte sur le point de savoir si le recourant peut prétendre, par voie de révision, à une augmentation de la rente d’invalidité de 15% et de l’IPAI de 10% que l’intimée lui a allouées par décision du 16 octobre 2002 – entrée en force.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w:t>
      </w:r>
    </w:p>
    <w:p>
      <w:r>
        <w:rPr>
          <w:b/>
        </w:rPr>
        <w:t>E. 3.3</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3.4</w:t>
      </w:r>
    </w:p>
    <w:p>
      <w:r>
        <w:t>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voir également SVR 2010 IV n° 11 p. 35, arrêt du Tribunal fédéral 9C_236/2009 consid. 3.1 ; arrêt du Tribunal fédéral 8C_266/2016 du 15 mars 2017 consid. 3.1).</w:t>
      </w:r>
    </w:p>
    <w:p>
      <w:r>
        <w:rPr>
          <w:b/>
        </w:rPr>
        <w:t>E. 3.5</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U 391/00 du 9 mai 2001 consid. 2a).</w:t>
      </w:r>
    </w:p>
    <w:p>
      <w:r>
        <w:rPr>
          <w:b/>
        </w:rPr>
        <w:t>E. 4</w:t>
      </w:r>
    </w:p>
    <w:p>
      <w:r>
        <w:t>Selon l’art. 11 de l'ordonnance sur l'assurance-accidents du 20 décembre 1982 (OLAA - RS 832.202), les prestations d’assurance sont également versées en cas de rechutes et de séquelles tardives ; les bénéficiaires de rentes d’invalidité doivent toutefois remplir les conditions posées à l’art. 21 de la loi. Sous la note marginale « traitement médical après la fixation de la rente », l’art. 21 LAA prévoit que lorsque la rente a été fixée, les prestations pour soins et remboursement de frais (art. 10 à 13) sont accordées à son bénéficiaire notamment lorsqu’il souffre d’une rechute ou de séquelles tardives et que des mesures médicales amélioreraient notablement sa capacité de gain ou empêcheraient une notable diminution de celle-ci (al. 1, let. b).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les séquelles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 1.1). Les rechutes et les séquelles tardives supposent en règle générale que le droit au traitement médical ait pris fin. Lorsque le cas né de l’accident initial a été clos par l’octroi d’une rente d’invalidité, l’art. 11 OLAA fait dépendre le droit aux prestations d’assurance de la réalisation des conditions de l’art. 21 LAA. Cette réserve de l’art. 11 OLAA est toutefois sans portée véritable dans la mesure où les art. 21 al. 1 let. b et 21 al. 3 LAA prévoient précisément un droit aux prestations d’assurance en cas de rechute et de séquelles tardives. Lorsque ces éventualités conduisent à une aggravation durable de la capacité de gain, la rente préexistante doit être révisée en application de l’art. 17 al. 1 LPGA (André NABOLD, in Marc HÜRZELER/ Ueli KIESER [éditeurs], Kommentar zum Schweizerischen Sozialversicherungsrecht , UVG, 2018, n. 92 ad art. 6 LAA).</w:t>
      </w:r>
    </w:p>
    <w:p>
      <w:r>
        <w:rPr>
          <w:b/>
        </w:rPr>
        <w:t>E. 5.1</w:t>
      </w:r>
    </w:p>
    <w:p>
      <w:r>
        <w:t>Dans le cadre du développement continu de l’AI, la loi fédérale sur l’assurance-invalidité du 19 juin 1959 (LAI – RS 831.20), le règlement sur l’assurance-invalidité du 17 janvier 1961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pour le droit à la rente est intervenue jusqu’à cette date. Si tel est le cas en matière d’assurance-invalidité, les dispositions de la LAI et celles du RAI dans leur version valable jusqu'au 31 décembre 2021 sont applicables, la date de la modification se déterminant selon l’art. 88 a RAI. En revanche, l’augmentation par voie de révision d’une rente d’invalidité de l’assurance-accidents en cas de rechute ou de séquelles tardives doit avoir lieu – comme en cas d’octroi initial d’une rente – au moment de l’arrêt du traitement médical. Il n’y a pas lieu d’appliquer par analogie les art. 88 a al. 2 et 88 bis al. 1 RAI ( cf . ATF 140 V 65 consid. 4.2).</w:t>
      </w:r>
    </w:p>
    <w:p>
      <w:r>
        <w:rPr>
          <w:b/>
        </w:rPr>
        <w:t>E. 5.2</w:t>
      </w:r>
    </w:p>
    <w:p>
      <w:r>
        <w:t>En l’espèce, c’est par décision du 29 juin 2012, confirmée sur opposition le 23 juillet 2013 que l’intimée a mis fin à la prise en charge du traitement en lien avec l’accident de 1996. Suite à l’annonce de l’accident de 2017, l’intimée a considéré que la lésion présentée par le recourant à la jambe droite était en réalité en lien avec l’accident de 1996 ; elle a pris en charge, à ce titre, les frais de traitement et le versement de l’indemnité journalière. Ce faisant, l’intimée a reconnu la survenance d’une rechute, voire de séquelles tardives en lien avec l’accident de 1996, justifiant le versement de nouvelles prestations ( cf . ATAS/350/2022 du 11 avril 2022 consid. 6.1). Le versement de ces prestations (indemnités journalières et frais de traitement) ayant duré jusqu’au 30 septembre 2023 ( cf . courrier de la SUVA du 17 août 2023), c’est donc à la lumière de l’art. 17 al. 1 LPGA, dans sa teneur en vigueur depuis le 1 er janvier 2022, qu’il y a lieu de déterminer si la rente d’invalidité de 15% octroyée par décision du 16 octobre 2002 doit être révisée. Cela étant, le point de savoir si l’on applique cette disposition dans sa nouvelle teneur n’a pas de portée pratique pour l’issue du litige ( cf . ci-après : consid. 5.3).</w:t>
      </w:r>
    </w:p>
    <w:p>
      <w:r>
        <w:rPr>
          <w:b/>
        </w:rPr>
        <w:t>E. 5.3</w:t>
      </w:r>
    </w:p>
    <w:p>
      <w:r>
        <w:t>Selon l’art. 17 al. 1 LPGA révisé, la rente d’invalidité est, d’office ou sur demande révisée pour l’avenir, à savoir augmentée réduite ou supprimée, lorsque le taux d’invalidité de l’assuré subit une modification d’au moins 5 points de pourcentage (let. a), ou atteint 100% (let. b). En tant qu’elle prévoit que la modification du taux d’invalidité doit atteindre « au moins 5 points de pourcentage » et ne pas simplement être « notable » ( cf . l’art. 17 al. 1 LPGA dans sa teneur en vigueur jusqu’au 31 décembre 2021), la nouvelle formulation de cette disposition ne modifie cependant pas les conditions de la révision d’une rente LAA, déjà précisées par la jurisprudence sous l’ancien droit : si le taux d’invalidité du bénéficiaire de la rente subit une modification notable, la rente est, d’office ou sur demande, révisée pour l'avenir, à savoir augmentée ou réduite en conséquence, ou encore supprimée (art. 17 al. 1 LPGA).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144 I 103 consid. 2.1). S'il existe un motif de révision en ce sens, la demande de rente doit être examinée de manière complète (« tous azimuts ») en droit et en fait, sans être liée par des appréciations antérieures (ATF 141 V 9 consid. 2.3 et 6.3.2). En matières d’assurance-accidents et d’assurance-militaire, la modification des circonstances est considérée comme notable lorsque le degré d'invalidité diffère d’au moins 5% (ATF 145 V 141 consid. 7.3.1 ; 140 V 85 consid. 4.3).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(arrêt du Tribunal fédéral 8C_671/2020 du 14 avril 2021 consid. 3.1 et la référence).</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6.3.2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 cf . ATF 137 V 210 consid. 3.4.2.3 ; cf . arrêt du Tribunal fédéral 8C_162/2023 du 9 octobre 2023 consid. 2.3 et les références).</w:t>
      </w:r>
    </w:p>
    <w:p>
      <w:r>
        <w:rPr>
          <w:b/>
        </w:rPr>
        <w:t>E. 6.3.3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Si une révision des prestations a été demandée en application de l’art. 17 al. 1 LPGA, cela implique que l’assureur se penche sur l’évolution de l’état de santé jusqu’à la prise d’une décision sur opposition. Il lui incombe ainsi de procéder aux investigations nécessaires pour la période concernée (Ueli KIESER, ATSG-Kommentar , 4 e éd., 2020, ad art. 43 LPGA, p. 760 n. 23).</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8.2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9.1</w:t>
      </w:r>
    </w:p>
    <w:p>
      <w:r>
        <w:t>À titre liminaire, il sied de rappeler que dans son arrêt du 11 avril 2022 ( ATAS/350/2022 ), confirmé par l’arrêt du Tribunal fédéral 8C_343/2022 du 11 octobre 2022, la chambre de céans avait estimé, en synthèse, qu’en prenant en charge la rechute, voire les séquelles tardives de l’accident du 19 décembre 1996 (par le versement d’indemnités journalières et le remboursement des frais de traitement) du fait de la causalité des troubles à la jambe droite du recourant avec ce premier événement ( cf . dossier 16.36233.96.6, doc. 280), l’intimée ne pouvait pas mettre un terme à l’octroi de ces prestations provisoires au 3 janvier 2021 alors qu’elle n’avait pas établi, au degré de la vraisemblance prépondérante, la disparition du lien de causalité entre les troubles subsistants et l’accident à cette date. Dans le cadre de l’instruction médicale complémentaire, que la chambre de céans a ordonnée par arrêt du 11 avril 2022 ( ATAS/350/2022 ), les experts d’O______ ont conclu, en synthèse, que la question de la cessation de la relation de causalité des troubles du membre inférieur droit avec l’accident du 19 décembre 1996 ne se posait pas, dans la mesure où il subsistait des séquelles causées par cet accident. Ces dernières se présentaient sous la forme d’un diagnostic qui n’était ni infectiologique (absence d’ostéomyélite ou autre), ni psychiatrique (absence de diagnostic relevant de cette spécialité médicale), mais seulement orthopédique (syndrome douloureux chronique au niveau de la jambe droite). En outre, il n’y avait plus lieu d’attendre de la poursuite du traitement médical une amélioration notable de l’état de santé en rapport avec l’accident. En effet, les fractures étaient intégralement consolidées en position axiale et une récupération supplémentaire des tissus mous n’était plus à escompter. Aucune mesure thérapeutique ne s’imposait dès lors, même si « l’intégration à une prise en charge de la douleur » et une réévaluation de la médication pouvaient être judicieuses. Le syndrome douloureux chronique au niveau de la jambe droite ne permettait plus au recourant d’exercer sa dernière activité de plâtrier-peintre. En revanche, dans une activité légère, permettant d’alterner les positions, exercée principalement en position assise, n’impliquant ni port / soulèvement de charges, ni utilisation d’échelles (ou d’objets semblables), ni marche sur un sol inégal, ni postures forcées de la jambe droite (résultant par exemple de l’actionnement d’une pédale), la capacité de travail était de 90%. Même dans le cadre d’une activité adaptée ainsi définie, une réduction de la capacité de travail de 10%, à 90%, existait d’un point de vue médical global, compte tenu de l’ampleur de la douleur que l’experte orthopédiste jugeait compréhensible. Cette réduction se justifiait par un « besoin accru de pauses en raison de la part plausible et médicalement compréhensible des troubles dont les symptômes (tuméfaction et douleur) augment[aient] en fonction du moment de la journée et de la sollicitation » ( cf . dossier 16.36233.96.6, doc. 632, p. 9). Alors que le recourant « reconnaît à l’expertise O______ une force probante quant à l’atteinte à la jambe », il n’en estime pas moins que cette expertise « n’a aucune force probante pour une évaluation globale tenant compte des deux atteintes » ( cf . recours, p. 3). De son côté, l’intimée considère que l’experte P______ a procédé à un examen clinique complet, notamment des membres supérieurs et inférieurs, et que dans le cadre de l’évaluation consensuelle, les symptômes au niveau de la jambe et du poignet ont été pris en compte tant dans l’anamnèse que dans les diagnostics retenus. La chambre de céans constate que le rapport d’expertise d’O______ a été rendu en pleine connaissance du dossier, qu’il comporte une anamnèse et un status fouillé dans chaque spécialité médicale concernée, qu’il tient compte des plaintes de l’assuré et que les diagnostics et les conclusions sont bien motivés. Aussi convient-il, en principe, d’en reconnaître la valeur probante, sous réserve toutefois de la problématique suivante : puisque les experts sont parvenus à la conclusion qu’il n’y avait plus lieu d’attendre de la continuation du traitement médical une sensible amélioration de l’état de santé du recourant et que le cas était ainsi stabilisé, l’intimée était fondée à clore le cas en mettant fin aux frais de traitement ainsi qu’aux indemnités journalières et en examinant le droit à une rente d’invalidité et à une IPAI. En outre, compte tenu de l’existence d’une rente d’invalidité de 15% avec effet au 1 er mai 2002, octroyée par décision du 16 octobre 2002 en lien avec l’accident du 26 mai 2000 (fracture du scaphoïde droit), c’est également à juste titre que la décision (initiale) du 12 septembre 2023, confirmée sur opposition par la décision litigieuse, indique que « nous avons examiné si les séquelles supplémentaires résultant de la rechute de l’accident du 19.12.1996 donnaient droit à une rente d’invalidité plus élevée ». Cependant, lorsque les faits déterminants pour le droit à la rente se sont modifiés au point de faire apparaître un changement important de l’état de santé motivant une révision de la rente (au sens de l’art. 17 al. 1 LPGA), le degré d’invalidité doit être fixé à nouveau sur la base d’un état de fait établi de manière correcte et complète, sans référence à des évaluations antérieures de l’invalidité. Ainsi, la réévaluation de l’état de santé et de la capacité de travail doit se faire à l’aune de l’état de santé sous tous ses aspects (« gesundheitliche Gesamtsituation » ; cf . l’ATF 141 V 9 consid. 2.3 et 6.3.2). À cet égard, la chambre de céans relève à l’examen des « documents déterminants pour la fixation de la rente » ( cf . dossier 16.36233.96.6, doc. 645) que l’évaluation de la capacité de travail du recourant par les experts ne correspond pas à la réévaluation de la capacité de travail requise par la jurisprudence précitée. Cela se reflète, notamment, dans le fait que l’intimée procède à une évaluation séparée des deux événements accidentels en ces termes : « le préjudice économique [soit le taux d’invalidité de 13% résultant des séquelles de l’accident de 1996 à la jambe] n’est pas plus important que celui déjà reconnu pour les séquelles de l’accident [au poignet droit] subi en 2000 », pour lequel l’intéressé bénéficie d’une rente de 15% ( cf . dossier 16.36233.96.6, doc. 645). Par ailleurs, l’omission de réévaluer la capacité de travail et le degré d’invalidité sur la base des atteintes accidentelles cumulées au poignet droit et à la jambe droite ressort également des réponses des experts aux « questions spécifiques du cas ». Ces réponses sont, en effet, limitées à la jambe droite, conformément aux questions de l’intimée qui se rapportent uniquement à l’accident de 1996, notamment pour ce qui concerne la capacité de travail ( cf . dossier 16.36233.96.6, doc. 632, p. 7-9). Cette focalisation des experts sur ce seul événement se reflète également dans l’exigibilité retenue par l’intimée, en vue de la détermination du degré d’invalidité : « Capacité de 90% dans une activité adaptée au sens des conclusions des experts. À cette capacité restreinte, on peut ajouter – même sur le salaire ESS pour les tâches du niveau de compétence 1 – un abattement de 10% supplémentaires justifié tant par le double handicap membre inférieur/membre supérieur que par le statut personnel précaire de l’intéressé […] » (dossier 16.36233.96.6, doc. 645). C’est le lieu d’observer que, même si l’abattement de 10% précité tient compte, entre autres, du handicap supplémentaire au membre supérieur droit, il ne saurait suppléer à l’absence d’appréciation de la capacité de travail du recourant par les experts en fonction de la double atteinte aux membres inférieur et supérieur droits, conformément à l’ATF 141 V 9 précité. On ajoutera que cette lacune du rapport d’expertise ne saurait pas non plus être comblée par le rajout, dans la décision (initiale) du 12 septembre 2023, d’une limitation fonctionnelle venant compléter celles retenues par les experts en ces termes : « et ne sollicitant que modérément le poignet droit ». On constate que cette limitation fonctionnelle additionnelle – pour laquelle l’intimée ne cite aucun rapport médical –, ne correspond d’ailleurs pas à l’exigence d’une « activité légère et ne nécessitant pas d’habileté manuelle particulière », attestée en son temps par le Dr T______ dans le cadre de son examen final du 15 octobre 2001 ( cf . dossier 01.42292.00.9, doc. 13, p. 3).</w:t>
      </w:r>
    </w:p>
    <w:p>
      <w:r>
        <w:rPr>
          <w:b/>
        </w:rPr>
        <w:t>E. 9.2</w:t>
      </w:r>
    </w:p>
    <w:p>
      <w:r>
        <w:t>Estimant que l’expertise d’O______ peut se voir reconnaître une valeur probante sans réserves, l’intimée fait valoir que l’experte P______ a aussi examiné les membres supérieurs et constaté, « à droite, dans la région de l’articulation métacarpo-phalangienne du pouce, [une] cicatrice exempte de manifestations inflammatoires et tissus mous atrophiés [et] qu’à l’examen superficiel rapide, la fonction observée (par ex. se vêtir / se dévêtir) ne traduit aucune altération massive » ( cf . dossier 16.36233.96.6, doc. 632, p. 28). Ce faisant, l’intimée omet de mentionner que l’experte orthopédiste précise elle-même que « conformément à la question posée, l’examen clinique se concentre sur le membre inférieur droit » ( cf . dossier 16.36233.96.6, doc. 632, p. 26), ce qui est, d’ailleurs, en cohérence avec « l’examen superficiel rapide » des membres supérieurs mais ne saurait pallier l’absence d’évaluation de la capacité de travail et des limitations fonctionnelles par les experts d’O______, sur la base d’un examen approfondi des atteintes à la santé du recourant, résultant non seulement de l’événement du 19 décembre 1996 mais aussi de celui du 26 mai 2000.</w:t>
      </w:r>
    </w:p>
    <w:p>
      <w:r>
        <w:rPr>
          <w:b/>
        </w:rPr>
        <w:t>E. 9.3</w:t>
      </w:r>
    </w:p>
    <w:p>
      <w:r>
        <w:t>Une telle évaluation n’ayant pas eu lieu à ce jour, la chambre de céans s’abstiendra d’examiner plus avant le degré d’invalidité retenu par l’intimée, la fixation de ce dernier apparaissant en tout état prématurée. Aussi incombera-t-il à l’intimée de compléter l’instruction médicale dans le sens des considérants, le cas échéant en ordonnant un complément d’expertise.</w:t>
      </w:r>
    </w:p>
    <w:p>
      <w:r>
        <w:rPr>
          <w:b/>
        </w:rPr>
        <w:t>E. 10</w:t>
      </w:r>
    </w:p>
    <w:p>
      <w:r>
        <w:t>Reste à examiner si le recourant peut prétendre à une IPAI dépassant celle qui lui a déjà été reconnue à hauteur de 10%, en lien avec la seule atteinte à la main droite.</w:t>
      </w:r>
    </w:p>
    <w:p>
      <w:r>
        <w:rPr>
          <w:b/>
        </w:rPr>
        <w:t>E. 10.1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 re phr.) ; elle ne doit pas excéder le montant maximum du gain annuel assuré à l'époque de l'accident et elle est échelonnée selon la gravité de l'atteinte à l'intégrité (al. 1, 2 e phr.). Elle est également versée en cas de maladie professionnelle ( cf . art. 9 al. 3 LAA). Le Conseil fédéral édicte des prescriptions détaillées sur le calcul de l'indemnité (al. 2).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w:t>
      </w:r>
    </w:p>
    <w:p>
      <w:r>
        <w:rPr>
          <w:b/>
        </w:rPr>
        <w:t>E. 10.2</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Si un événement assuré se solde par une atteinte à l'intégrité alors qu'un événement antérieur a déjà donné lieu au versement d'une indemnité pour atteinte à l'intégrité, le principe veut que les indemnités déjà perçues en vertu de la loi soient imputées en pourcentage et non selon le montant (arrêt du Tribunal fédéral 8C_812/2010 du 2 mai 2011 consid. 6.4.4). En pratique, il est recommandé d’évaluer d’abord chaque dommage séparément et de procéder ensuite à une évaluation globale des atteintes. Toutefois, en l’absence d’une appréciation globale des atteintes à l’intégrité, les taux individuels peuvent s’additionner lorsque les atteintes concernent différentes parties du corps et qu’elles n’ont pas d’influence les unes sur les autres ( cf . arrêt du Tribunal fédéral 8C_643/2022 du 7 juin 2023 consid. 4.5 et les références).</w:t>
      </w:r>
    </w:p>
    <w:p>
      <w:r>
        <w:rPr>
          <w:b/>
        </w:rPr>
        <w:t>E. 10.3</w:t>
      </w:r>
    </w:p>
    <w:p>
      <w:r>
        <w:t>Selon la jurisprudence, il y a lieu d'additionner le pour cent correspondant à chacune des atteintes, même celles qui n'atteignent pas 5% (ATF 116 V 156 consid. 3b ; RAMA 1988 p. 230).</w:t>
      </w:r>
    </w:p>
    <w:p>
      <w:r>
        <w:rPr>
          <w:b/>
        </w:rPr>
        <w:t>E. 10.4</w:t>
      </w:r>
    </w:p>
    <w:p>
      <w:r>
        <w:t>En l’occurrence, la question d’une éventuelle IPAI n’a pas été soumise aux experts. Il ressort toutefois de la très succincte appréciation du 16 décembre 2020 du Dr H______, confirmée par ce médecin le 22 août 2023 mais relative au seul accident de décembre 1996, qu’il « n’existe pas d’atteinte sous-jacente des articulations du genou et de la tibio-tarsienne et donc [qu’il] n’existe pas d’IPAI dans le cas précis » ( cf . dossier 16.36233.96.6, doc. 423, p. 16 in fine ). Ce faisant, ce médecin ne précise pas si l’octroi d’une IPAI est injustifié parce que l’atteinte serait nulle – au sens d’une (ou plusieurs) table(s) de la SUVA, qu’il ne cite d’ailleurs pas – ou parce que sans être nulle, elle n’atteindrait pas le minimum requis de 5%. Sachant que dans cette deuxième hypothèse, il y aurait lieu, en l’espèce, d’additionner le pour cent correspondant à chacune des deux atteintes (soit en tenant compte aussi des atteintes à l’intégrité résultant de l’accident de 1996 qui n’atteindraient pas 5%) et de procéder ensuite à une évaluation globale des atteintes aux membres inférieur et supérieur droits ( cf . ci-dessus : consid. 10.2 et 10.3), on ne saurait considérer qu’il serait établi, en l’état de l’instruction médicale, que l’atteinte au membre inférieur droit, s’ajoutant à celle – déjà indemnisée à hauteur de 10% – de la main droite, ne permettrait pas au recourant de prétendre à une IPAI supplémentaire. L’instruction médicale devra donc être complétée également sur ce plan.</w:t>
      </w:r>
    </w:p>
    <w:p>
      <w:r>
        <w:rPr>
          <w:b/>
        </w:rPr>
        <w:t>E. 11.1</w:t>
      </w:r>
    </w:p>
    <w:p>
      <w:r>
        <w:t>Compte tenu de ce qui précède, le recours est partiellement admis, la décision sur opposition du 7 décembre 2023 est annulée et la cause est renvoyée à l’intimée pour instruction complémentaire au sens des considérants (9.2 et ss. et 10.4), le cas échéant au moyen d’un complément d’expertise, et nouvelle décision.</w:t>
      </w:r>
    </w:p>
    <w:p>
      <w:r>
        <w:rPr>
          <w:b/>
        </w:rPr>
        <w:t>E. 11.2</w:t>
      </w:r>
    </w:p>
    <w:p>
      <w:r>
        <w:t>Le recourant, représenté par un avocat et obtenant partiellement gain de cause, a droit à une indemnité à titre de participation à ses frais et dépens (art. 61 let. g LPGA ; art. 6 du règlement sur les frais, émoluments et indemnités en matière administrative du 30 juillet 1986 [RFPA - E 5 10.03]), fixée en l'espèce à CHF 2'000.-.</w:t>
      </w:r>
    </w:p>
    <w:p>
      <w:r>
        <w:rPr>
          <w:b/>
        </w:rPr>
        <w:t>E. 11.3</w:t>
      </w:r>
    </w:p>
    <w:p>
      <w:r>
        <w:t>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