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A/2188/2023 vom 8. Februar 2024</w:t>
      </w:r>
    </w:p>
    <w:p>
      <w:r>
        <w:t>GE Cour de justice, 2024-02-08, FR</w:t>
      </w:r>
    </w:p>
    <w:p>
      <w:r>
        <w:rPr>
          <w:b/>
        </w:rPr>
        <w:t xml:space="preserve">Quelle: </w:t>
      </w:r>
      <w:r>
        <w:t>https://mcp.opencaselaw.ch/entscheid/ge_gerichte_A_2188_2023</w:t>
      </w:r>
    </w:p>
    <w:p>
      <w:r>
        <w:t>FR: GE_GERICHTE A/2188/2023 du 8 février 2024</w:t>
      </w:r>
    </w:p>
    <w:p>
      <w:r>
        <w:t>IT: GE_GERICHTE A/2188/2023 del 8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 ![endif]&gt;![if&gt;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4</w:t>
      </w:r>
    </w:p>
    <w:p>
      <w:r>
        <w:t>Interjeté dans la forme et le délai prévus par la loi, le recours est recevable (art. 56 LPGA; art. 62 al. 1 de la loi sur la procédure administrative du 12 septembre 1985 [LPA - E 5 10]).![endif]&gt;![if&gt;</w:t>
      </w:r>
    </w:p>
    <w:p>
      <w:r>
        <w:rPr>
          <w:b/>
        </w:rPr>
        <w:t>E. 5</w:t>
      </w:r>
    </w:p>
    <w:p>
      <w:r>
        <w:t>Le litige porte sur le bien-fondé de la décision de l’OAI de refuser d’entrer en matière sur la nouvelle demande déposée le 14 septembre 2022. ![endif]&gt;![if&gt;</w:t>
      </w:r>
    </w:p>
    <w:p>
      <w:r>
        <w:rPr>
          <w:b/>
        </w:rPr>
        <w:t>E. 6</w:t>
      </w:r>
    </w:p>
    <w:p>
      <w:r>
        <w:t>![endif]&gt;![if&gt;</w:t>
      </w:r>
    </w:p>
    <w:p>
      <w:r>
        <w:rPr>
          <w:b/>
        </w:rPr>
        <w:t>E. 6.1</w:t>
      </w:r>
    </w:p>
    <w:p>
      <w:r>
        <w:t>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w:t>
      </w:r>
    </w:p>
    <w:p>
      <w:r>
        <w:rPr>
          <w:b/>
        </w:rPr>
        <w:t>E. 6.2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1.2).![endif]&gt;![if&gt;</w:t>
      </w:r>
    </w:p>
    <w:p>
      <w:r>
        <w:rPr>
          <w:b/>
        </w:rPr>
        <w:t>E. 6.3</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![endif]&gt;![if&gt;</w:t>
      </w:r>
    </w:p>
    <w:p>
      <w:r>
        <w:rPr>
          <w:b/>
        </w:rPr>
        <w:t>E. 6.4</w:t>
      </w:r>
    </w:p>
    <w:p>
      <w:r>
        <w:t>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w:t>
      </w:r>
    </w:p>
    <w:p>
      <w:r>
        <w:rPr>
          <w:b/>
        </w:rPr>
        <w:t>E. 6.5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![endif]&gt;![if&gt;</w:t>
      </w:r>
    </w:p>
    <w:p>
      <w:r>
        <w:rPr>
          <w:b/>
        </w:rPr>
        <w:t>E. 7</w:t>
      </w:r>
    </w:p>
    <w:p>
      <w:r>
        <w:t>![endif]&gt;![if&gt;</w:t>
      </w:r>
    </w:p>
    <w:p>
      <w:r>
        <w:rPr>
          <w:b/>
        </w:rPr>
        <w:t>E. 7.1</w:t>
      </w:r>
    </w:p>
    <w:p>
      <w:r>
        <w:t>L’intimé considère en l’occurrence que l’assuré n’a pas rendu plausible une aggravation de son état de santé. Il se réfère en cela à l’avis du SMR du 3 avril 2023. ![endif]&gt;![if&gt;</w:t>
      </w:r>
    </w:p>
    <w:p>
      <w:r>
        <w:rPr>
          <w:b/>
        </w:rPr>
        <w:t>E. 7.2</w:t>
      </w:r>
    </w:p>
    <w:p>
      <w:r>
        <w:t>Le recourant estime qu’une telle aggravation a été rendue plausible par l’expertise du Dr F______. Il allègue que, dans son arrêt, la Cour de céans a considéré qu’une aggravation des limitations fonctionnelles était survenue. Si elle n’en a pas tenu compte, c’est qu’elle était postérieure à la décision faisant l’objet de la procédure qui lui était soumise.![endif]&gt;![if&gt;</w:t>
      </w:r>
    </w:p>
    <w:p>
      <w:r>
        <w:rPr>
          <w:b/>
        </w:rPr>
        <w:t>E. 7.3</w:t>
      </w:r>
    </w:p>
    <w:p>
      <w:r>
        <w:t>Se pose donc la question de savoir si l’assuré a rendu au moins plausible une aggravation de son état de santé depuis 2016, susceptible d’influencer son droit aux prestations. ![endif]&gt;![if&gt; S’agissant des lombalgies, on rappellera qu’en avril 2009, l’examen rhumatologique pratiqué par le Dr B______ concluait à des lombalgies chroniques persistantes (discopathies L4-L5 et L5-S1). L’assuré décrivait alors une symptomatologie douloureuse envahissante, diurne et nocturne, irritante, stressante, inquiétante, intéressant la région lombaire basse, irradiant quelque peu vers la région inguinale gauche, mais s’étendant aussi à l’ensemble du rachis jusque vers la région cervico-scapulaire, ce qui lui donnait l’impression de devoir soutenir perpétuellement un poids de plusieurs dizaines de kilos. Il faisait alors déjà état d’une symptomatologie douloureuse permanente qui le confinait à une inactivité quasi totale (il disait passer l’essentiel de son temps étendu chez lui). Il a été retenu que l’assuré souffrait de lombalgies communes dans le cadre de troubles dégénératifs rachidiens modérés, en d’autres termes, une pathologie lombaire objective, dûment documentée, qualifiée de bénigne et n’interdisant pas l’exercice d’une activité professionnelle respectueuse des limitations fonctionnelles ostéo-articulaires. Dans son rapport d’expertise, le Dr F______ – dont on rappellera qu’il est spécialiste en gastroentérologie et a été mandaté pour investigation des douleurs abdominales – a conclu à des lombalgies sur hernie discale. Il s’est certes fait le relais des plaintes de l’assuré. Mais force est de constater que ces plaintes étaient déjà très importantes en 2009 – alors même que l’atteinte était qualifiée par le spécialiste rhumatologue de bénigne. A ce niveau, aucune aggravation n’a donc été rendue plausible. Cela est d’autant plus vrai qu’en page 11 de son rapport, le Dr F______ indique que les « limitations imposées par des douleurs lombaires, ainsi que par des allergies n’ont pas changé depuis au moins une vingtaine d’années et, ainsi, les appréciations du passé sont entièrement valables ». Dans son écriture du 9 août 2023, le recourant reprend entre guillemets une citation qu’il attribue à la Cour de céans : « l’aggravation des lombalgies alléguée par le recourant induite par les infiltrations […] était postérieure à la décision objet du recours ». Ce ne sont pourtant pas les propos tenus par la Cour dans son arrêt du 23 juin 2022. Les termes exacts, ressortant du début du considérant 10 de l’arrêt sont les suivants : « … il y a lieu de rappeler que, sur le plan rhumatologique, la Cour de céans ne peut tenir compte de l’aggravation des lombalgies qu’allègue le recourant dans ses écritures […] qui serait survenue consécutivement aux infiltrations […], dans la mesure où il s’agit d’un fait nouveau postérieur à la décision litigieuse du 23 août 2016 ». Ce faisant, la Cour de céans n’a fait que rapporter les allégations du recourant, sans à aucun moment confirmer l’existence de l’aggravation invoquée, ainsi que le montrent tant les termes employés que l’usage du conditionnel. Quant aux douleurs abdominales, éminemment subjectives, décrites comme devenues plus intenses par l’assuré depuis les infiltrations pratiquées, il est vrai que le Dr F______ a estimé qu’elles entraînaient une nette limitation en termes de résistance, de concentration et de persévérance et qu’il en a déduit que, depuis 2021, la capacité de travail de l’assuré devait être un peu plus diminuée de ce chef. Cela étant, dans son arrêt, la Cour de céans s’est expressément écartée des conclusions du Dr F______, non seulement parce que les limitations évoquées auraient été postérieures à la décision litigieuse, mais également parce qu’ainsi que le relevait à l’époque le SMR (cf. avis du 7 février 2022), l’expert semblait se fonder uniquement sur les déclarations de l’assuré pour retenir ces limitations fonctionnelles. C’est la raison pour laquelle la Cour, en son considérant 10.2.2, précisait : « … l’aggravation des limitations fonctionnelles du recourant, si tant est qu’elle soit établie sur la base de constatations objectives, … ». Le recourant ne saurait dès lors, comme il le fait, tirer la conclusion de cet arrêt que la Cour a admis que l’expertise du Dr F______ mettait en évidence une péjoration de son état de santé, à tout le moins à partir du jour où il avait été examiné par l’expert. Dans ces conditions, l’appréciation de l’intimé et du SMR selon laquelle le rapport du Dr F______ n’a mis en évidence ni aggravation de l’état de santé de l’assuré, ni diminution de la capacité de travail, puisqu’il s’est essentiellement basé sur les plaintes subjectives de l’intéressé, n’apparaît pas critiquable. En particulier, le SMR a noté que l’expert n’a pas décrit de troubles cognitifs lors de son examen clinique et qu’il n’a pas été possible de comparer les activités quotidiennes de l'assuré entre 2016 (expertise du Dr D______) et 2022 (expertise du Dr F______). La conclusion qu’il en tire, qu’il n’y a pas d'arguments rendant plausible une aggravation de l'état de santé de l'assuré depuis la décision du 23 août 2016 est donc justifiée, dès lors qu’aucun élément médical objectif ne vient corroborer l’aggravation subjective alléguée par le recourant. Eu égard aux considérations qui précèdent, c’est donc à juste titre que l’intimé a refusé d’entrer en matière sur la nouvelle demande de l’assuré. Le recours est rejeté.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