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A/2184/2007 vom 28. März 2007</w:t>
      </w:r>
    </w:p>
    <w:p>
      <w:r>
        <w:t>GE Cour de justice, 2007-03-28, FR</w:t>
      </w:r>
    </w:p>
    <w:p>
      <w:r>
        <w:rPr>
          <w:b/>
        </w:rPr>
        <w:t xml:space="preserve">Quelle: </w:t>
      </w:r>
      <w:r>
        <w:t>https://mcp.opencaselaw.ch/entscheid/ge_gerichte_A_2184_2007</w:t>
      </w:r>
    </w:p>
    <w:p>
      <w:r>
        <w:t>FR: GE_GERICHTE A/2184/2007 du 28 mars 2007</w:t>
      </w:r>
    </w:p>
    <w:p>
      <w:r>
        <w:t>IT: GE_GERICHTE A/2184/2007 del 28 marzo 2007</w:t>
      </w:r>
    </w:p>
    <w:p>
      <w:pPr>
        <w:pStyle w:val="Heading2"/>
      </w:pPr>
      <w:r>
        <w:t>Erwägungen</w:t>
      </w:r>
    </w:p>
    <w:p>
      <w:r>
        <w:rPr>
          <w:b/>
        </w:rPr>
        <w:t>E. 6</w:t>
      </w:r>
    </w:p>
    <w:p>
      <w:r>
        <w:t>En matière de prévoyance professionnelle obligatoire, il existe une relation étroite, voulue par le législateur, entre le droit à une rente d'invalidité en vertu du premier pilier et celui à une rente du même genre du deuxième pilier (Message du Conseil fédéral à l'appui d'un projet de loi sur la prévoyance professionnelle vieillesse, survivants et invalidité, du 19 décembre 1975, FF 1976 I 142 et 200). Dans son commentaire de l'art. 24 al. 1 du projet de LPP, qui correspond à l'art. 26 al. 1 LPP, le Conseil fédéral a indiqué que cette réglementation a pour but de coordonner le début du droit aux prestations de la prévoyance professionnelle et le début du droit à la rente de l'assurance-invalidité. De plus, selon le Tribunal fédéral des assurances, il y a lieu d'interpréter l'art. 26 al. 1 LPP en ce sens que le renvoi aux « dispositions de la loi fédérale du 19 juin 1959 sur l'assurance-invalidité (art. 29 LAI) » applicables par analogie pour fixer la naissance du droit à la rente de la prévoyance professionnelle vise uniquement l'art. 29 LAI, à l'exclusion de l'art. 48 al. 2 LAI (ATFA non publié du 2 février 2006, B 124/04, consid. 4.4.2). Selon la doctrine relative à l'art. 122 CC qui s'applique par analogie à l'art. 124 CC, concernant la survenance du cas de prévoyance "invalidité", il y a deux moments à prendre en considération : celui de la naissance de l'incapacité de travail qui conduit en dernier lieu à l'invalidité et à la rente (théorie de la cause) et celui lors duquel, pour la première fois, un droit à une rente peut être accordé (théorie de l'entrée). La théorie de la cause s'applique à la détermination de l'institution de prévoyance tenue à prestations (art. 23 LPP) et au droit à la prestation de sortie (art. 2 al. 1, art. 3 al. 2 LFLP). Quant au cas de prévoyance ressortant des art. 122 ss CC, on conçoit plus aisément de déterminer le moment de la survenance du risque "invalidité" selon la théorie de l'entrée. Outre des réflexions de praticabilité, parle particulièrement dans ce sens la possibilité de rachat prévue par l'art. 22c LFLP lors du partage des prestations de sortie dans le cadre d'un divorce. La disposition de l'art. 3 al. 2 LFLP se basant sur la théorie de la cause (restitution de la prestation de sortie) ne revêt dès lors qu'une signification minime (KIESER, Ehescheidung und Eintritt des Vorsorgefalles der beruflichen Vorsorge- Hinweise für die Praxis, PJA 2001 p. 157). En définitive, tant la jurisprudence qui parle de naissance d'un droit concret à des prestations de la prévoyance professionnelle que la doctrine qui se réfère à la théorie de l'entrée sont unanimes pour admettre que la survenance du cas de prévoyance au sens des art. 122 ss CC existe dès que l'assuré reçoit concrètement une rente de l'assurance-invalidité. En l'occurrence, une rente provisoire CIA a été versée à la demanderesse depuis le 1 er octobre 2006, soit avant la date à laquelle le jugement de divorce est devenu définitif, de sorte qu'il y a lieu de constater qu'un cas de prévoyance était effectivement survenu. En conséquence, le partage tel qu'arrêté par le jugement du Tribunal de première instance du 28 mars 2007 ne peut être exécuté. Le juge des assurances sociales n'a pas la compétence de remettre en cause le dispositif ou de le modifier. Seule la révision du jugement de divorce pourrait entraîner une modification de cette répartition (ATF du 8 mars 2007, cause B 48/06). Par conséquent le partage est déclaré impossible et les demandeurs sont invités à mieux agir devant le Tribunal de première instance en demandant le cas échant la révision du jugement de divorce.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