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A/2178/2005 vom 25. Oktober 2005</w:t>
      </w:r>
    </w:p>
    <w:p>
      <w:r>
        <w:t>GE Cour de justice, 2005-10-25, FR</w:t>
      </w:r>
    </w:p>
    <w:p>
      <w:r>
        <w:rPr>
          <w:b/>
        </w:rPr>
        <w:t xml:space="preserve">Quelle: </w:t>
      </w:r>
      <w:r>
        <w:t>https://mcp.opencaselaw.ch/entscheid/ge_gerichte_A_2178_2005</w:t>
      </w:r>
    </w:p>
    <w:p>
      <w:r>
        <w:t>FR: GE_GERICHTE A/2178/2005 du 25 octobre 2005</w:t>
      </w:r>
    </w:p>
    <w:p>
      <w:r>
        <w:t>IT: GE_GERICHTE A/2178/2005 del 25 ottobre 2005</w:t>
      </w:r>
    </w:p>
    <w:p>
      <w:pPr>
        <w:pStyle w:val="Heading2"/>
      </w:pPr>
      <w:r>
        <w:t>Erwägungen</w:t>
      </w:r>
    </w:p>
    <w:p>
      <w:r>
        <w:rPr>
          <w:b/>
        </w:rPr>
        <w:t>E. 2</w:t>
      </w:r>
    </w:p>
    <w:p>
      <w:r>
        <w:t>Selon le dossier produit par le service des automobiles et de la navigation (ci-après : le SAN), ce conducteur n’a aucun antécédent en matière de circulation routière.</w:t>
      </w:r>
    </w:p>
    <w:p>
      <w:r>
        <w:rPr>
          <w:b/>
        </w:rPr>
        <w:t>E. 3</w:t>
      </w:r>
    </w:p>
    <w:p>
      <w:r>
        <w:t>Le 3 janvier 2005, à 00h15, l’intéressé circulait en voiture sur la rue du Stand en direction de la rue des Rois, où la vitesse est limitée à 50 km/h, à une allure inadaptée aux circonstances et aux conditions de la route. En effet, selon le rapport des gendarmes qui le suivaient, il roulait à environ 90 km/h à la hauteur de l’hôtel des finances et à environ 80 km/h à la rue des Rois. Il a ensuite continué sa route par le boulevard Saint-Georges en direction de la rue des Deux-Ponts à une vitesse constante de 90 km/h sur une distance d’environ 400 mètres. Le rapport précisait que, selon la fiche d’étalonnage établie le 3 novembre 2004 pour la voiture suiveuse, le tachymètre indiquait une vitesse réelle de 84 km/h.</w:t>
      </w:r>
    </w:p>
    <w:p>
      <w:r>
        <w:rPr>
          <w:b/>
        </w:rPr>
        <w:t>E. 4</w:t>
      </w:r>
    </w:p>
    <w:p>
      <w:r>
        <w:t>Par arrêté du 7 juin 2005, le SAN a retiré le permis de conduire de M. F._______ pendant trois mois, en application de l’article 16c de la loi fédérale sur la circulation routière du 12 décembre 1958 (RS 741.01 - LCR).</w:t>
      </w:r>
    </w:p>
    <w:p>
      <w:r>
        <w:rPr>
          <w:b/>
        </w:rPr>
        <w:t>E. 5</w:t>
      </w:r>
    </w:p>
    <w:p>
      <w:r>
        <w:t>a. Le 8 juin 2005, M. F._______ a écrit au SAN. Il a admis que son allure n’était pas adaptée aux circonstances et qu’il payait l’amende qui lui avait été notifiée à raison de ces faits. Il a exposé qu’il travaillait en qualité de chauffeur livreur depuis bientôt cinq ans et que son permis représentait son outil de travail. Compte tenu de ses excellents antécédents et de son besoin professionnel déterminant au sens de la jurisprudence, il requérait un « arrangement afin de poursuivre (son) activité ». b. Le 13 juin 2005, le SAN a informé M. F._______ de ce qu’il ne pouvait pas reconsidérer sa décision du 7 juin et qu’afin de sauvegarder ses droits, il transmettait ce pli au Tribunal administratif.</w:t>
      </w:r>
    </w:p>
    <w:p>
      <w:r>
        <w:rPr>
          <w:b/>
        </w:rPr>
        <w:t>E. 6</w:t>
      </w:r>
    </w:p>
    <w:p>
      <w:r>
        <w:t>M. F._______ a recouru au Tribunal administratif le 21 juin 2005, reprenant et développant les arguments qu’il avait précédemment exposés au SAN. Sur le plan professionnel, il a précisé qu’il livrait des appareils électroménagers dans toute la Suisse romande et qu’il était généralement le seul dans l’entreprise à effectuer ce travail. Il craignait de perdre son emploi si le retrait de trois mois devait être confirmé. Il conclut à la réduction de la durée de la mesure et, subsidiairement. à son annulation.</w:t>
      </w:r>
    </w:p>
    <w:p>
      <w:r>
        <w:rPr>
          <w:b/>
        </w:rPr>
        <w:t>E. 7</w:t>
      </w:r>
    </w:p>
    <w:p>
      <w:r>
        <w:t>Les parties ont été entendues en comparution personnelle le 19 septembre 2005. a. M. F._______ a confirmé les termes de son recours. Il avait certes roulé trop vite, sans raison particulière. C’était la sanction en soi qui lui posait problème, car sans permis pendant trois mois, il risquait de perdre son emploi de chauffeur-livreur. b. Le SAN a persisté dans la décision entreprise.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4. a.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 b. Selon l’article 133 de l’ordonnance réglant l'admission des personnes et des véhicules à la circulation routière du 27 octobre 1976 (OAC - RS 741.51), l’Office fédéral des routes (OFROU) établit des instructions concernant les contrôles de vitesse par la police et les méthodes de mesure. En application de cette disposition, l’OFROU a édicté le 10 août 1998 des « instructions techniques concernant les contrôles de vitesse dans la circulation routière » (http://www.astra.admin.ch/media/pdfpub/1998-08-10_481_f.pdf). Celles-ci prévoient, au numéro 7.3 relatif à la marge de sécurité dont il y a lieu de tenir compte lors d’un contrôle de vitesse réalisé au moyen d’un véhicule suiveur, une déduction de 15 km/h lorsque le tronçon de mesure est d’au moins 500 mètres et la vitesse inférieure à 100 km/h. En l'espèce, le dépassement de la vitesse autorisée, au demeurant non contesté, a été constaté par un véhicule-suiveur, soumis aux instructions rappelées ci-dessus, sur une distance totale de plus de 500 mètres. Ainsi, le Tribunal administratif constate que la vitesse relevée sur le tachymètre du véhicule suiveur était de 84 km/h, de sorte que l’allure du recourant, une fois la marge de sécurité de 15 km/h déduite, était de 69 km/h. En conséquence, le dépassement de vitesse a été de 19 km/h, ce qui constitue une infraction légère au sens de l’article 16 a alinéa 1 lettre a, qui peut être sanctionnée par un avertissement (art. 16a al. 3 LCR). 5. Au vu de ce qui précède, la décision du SAN sera annulée et un avertissement sera adressé au recourant, en lieu et place du retrait contesté. En conséquence, le recours sera admis. 6. Vu l’issue du litige, un émolument de CHF 300.- sera mis à la charge du SAN, dont la décision est annulée.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