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A/2177/2022 vom 4. Juli 2023</w:t>
      </w:r>
    </w:p>
    <w:p>
      <w:r>
        <w:t>GE Cour de justice, 2023-07-04, FR</w:t>
      </w:r>
    </w:p>
    <w:p>
      <w:r>
        <w:rPr>
          <w:b/>
        </w:rPr>
        <w:t xml:space="preserve">Quelle: </w:t>
      </w:r>
      <w:r>
        <w:t>https://mcp.opencaselaw.ch/entscheid/ge_gerichte_A_2177_2022</w:t>
      </w:r>
    </w:p>
    <w:p>
      <w:r>
        <w:t>FR: GE_GERICHTE A/2177/2022 du 4 juillet 2023</w:t>
      </w:r>
    </w:p>
    <w:p>
      <w:r>
        <w:t>IT: GE_GERICHTE A/2177/2022 del 4 luglio 2023</w:t>
      </w:r>
    </w:p>
    <w:p>
      <w:pPr>
        <w:pStyle w:val="Heading2"/>
      </w:pPr>
      <w:r>
        <w:t>Erwägungen</w:t>
      </w:r>
    </w:p>
    <w:p>
      <w:r>
        <w:rPr>
          <w:b/>
        </w:rPr>
        <w:t>E. 2</w:t>
      </w:r>
    </w:p>
    <w:p>
      <w:r>
        <w:t>La recourante soutient qu’elle remplirait les conditions de l’octroi d’une autorisation de séjour pour études. Les faits auraient été établis et appréciés de manière inexacte et incomplète.![endif]&gt;![if&gt;</w:t>
      </w:r>
    </w:p>
    <w:p>
      <w:r>
        <w:rPr>
          <w:b/>
        </w:rPr>
        <w:t>E. 2.1</w:t>
      </w:r>
    </w:p>
    <w:p>
      <w:r>
        <w:t>Selon l'art. 61 al. 1 LPA, le recours devant la chambre administrative peut être formé pour violation du droit, y compris l'excès et l'abus du pouvoir d'appréciation, ainsi que pour constatation inexacte des faits. La chambre administrative ne connaît pas de l'opportunité d'une décision prise en matière de police des étrangers lorsqu'il ne s'agit pas d'une mesure de contrainte (art. 61 al. 2 LPA ; art. 10 al. 2 a contrario de la loi d'application de la LEtr du 16 juin 1988 - LaLEtr - F 2 10).![endif]&gt;![if&gt;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 arrêt du Tribunal fédéral 2C_199/2015 du 31 mai 2016 consid. 6.1).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w:t>
      </w:r>
    </w:p>
    <w:p>
      <w:r>
        <w:rPr>
          <w:b/>
        </w:rPr>
        <w:t>E. 2.2</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LEI).![endif]&gt;![if&gt;</w:t>
      </w:r>
    </w:p>
    <w:p>
      <w:r>
        <w:rPr>
          <w:b/>
        </w:rPr>
        <w:t>E. 2.3</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d).![endif]&gt;![if&gt; Ces conditions étant cumulatives, une autorisation de séjour pour l'accomplissement d'une formation ne saurait être délivrée que si l'étudiant étranger satisfait à chacune d'elles (arrêt du Tribunal administratif fédéral [ci-après : TAF] C 1359/2010 du 1er septembre 2010 consid. 5.3 ; ATA/40/2019 du 15 janvier 2019 consid. 6).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w:t>
      </w:r>
    </w:p>
    <w:p>
      <w:r>
        <w:rPr>
          <w:b/>
        </w:rPr>
        <w:t>E. 2.4</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étrangers.![endif]&gt;![if&gt; Une formation ou une formation continue est en principe admise pour une durée maximale de huit ans. Des dérogations peuvent être accordées en vue d’une formation ou d’une formation continue visant un but précis (art. 23 al. 3 OASA). L'étranger doit également présenter un plan d'études personnel et préciser le but recherché ( ATA/651/2017 du 13 juin 2017 consid. 6 ; ATA/457/2016 du 31 mai 2016 consid. 5 ; ATA/208/2015 du 24 février 2015 consid. 10 ; Directives LEI, ch. 5.1.1).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w:t>
      </w:r>
    </w:p>
    <w:p>
      <w:r>
        <w:rPr>
          <w:b/>
        </w:rPr>
        <w:t>E. 2.5</w:t>
      </w:r>
    </w:p>
    <w:p>
      <w:r>
        <w:t>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 du TAF C 1359/2010 du 1er septembre 2010 consid. 6.1 ; ATA/677/2015 du 23 juin 2015 consid. 6a).![endif]&gt;![if&gt;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précité consid. 7). L'expérience démontre que les étudiants étrangers admis à séjourner sur sol helvétique ne saisissent souvent pas l'aspect temporaire de leur séjour en Suisse et cherchent, une fois le but de leur séjour atteint, à s'établir et demeurer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w:t>
      </w:r>
    </w:p>
    <w:p>
      <w:r>
        <w:rPr>
          <w:b/>
        </w:rPr>
        <w:t>E. 2.6</w:t>
      </w:r>
    </w:p>
    <w:p>
      <w:r>
        <w:t>En l’espèce, la recourante expose vouloir se former en sciences de la nutrition. Elle aura vraisemblablement achevé en juin 2023 la deuxième des trois années menant à l’obtention du certificat d’ECG dans la filière santé. Si elle obtient ce certificat, elle pourra s’inscrire à l’année aux études menant à la maturité spécialisée santé, pour autant qu’elle ait obtenu une moyenne minimale de 4.0 des disciplines spécifiques au domaine professionnel choisi (art. 40 al. 1 let. b du règlement relatif à l’ECG du 1 er février 2023 - RECG - C 1 10.70), accompli quatre semaines de stage dans le domaine des soins réalisées après l'obtention du certificat d’ECG et validées par les ECG et rédigé un rapport de stage évalué suffisant par la commission ad hoc des ECG (art. 40 al. 6 let. a et b RECG). Une fois obtenue, la maturité spécialisée lui donnera à son tour accès à la haute école spécialisée en santé. L’accès à la filière des sciences en nutrition et diététique nécessite toutefois de réussir des « tests de régulation » correspondant en pratique à un numerus clausus et portant sur les analogies verbales, le calcul numérique, les séquences numériques, le raisonnement abstrait et le raisonnement spatial (https://www.hes-so.ch/fileadmin/documents/HES-SO/Documents_HES-SO/pdf/sante/Document_ Cadre_regulation_Sante_TS _2023.pdf). Ce n’est ensuite qu’au terme de cinq années d’études au moins et moyennant la réussite de ses examens de master que la recourante aura acquis une formation professionnelle. Ce sont ainsi au moins sept ans qui la séparent de l’acquisition d’une première formation.![endif]&gt;![if&gt; Or, au B______, la recourante a déjà obtenu l’équivalent d’un titre de maturité et été admise dans une formation académique en nutrition, qu’elle a toutefois interrompue durant la première année. C’est ainsi non sans pertinence que l’OCPM questionne la rationalité de son projet de formation en Suisse, dès lors qu’elle doit non seulement réussir l’année en cours mais encore trois examens majeurs (le diplôme de l’ECG, la maturité spécialisée et enfin l’examen d’admission) pour être admise, sans certitude et au plus tôt dans deux ans, à une formation qu’elle avait déjà entamée au B______ il y a plusieurs années. La chambre de céans observe que la recourante dispose déjà du titre – ou du moins d’une équivalence de celui-ci – qu’elle dit vouloir obtenir en Suisse et pour lequel elle demande une autorisation de séjour. Ce titre lui a déjà donné accès au B______ à la formation professionnelle supérieure à laquelle elle aspire. Elle n’indique pas en quoi une formation en nutrition à la HES à Genève serait plus utile pour trouver un emploi au B______ que la formation académique dans la même spécialité qu’elle y avait entamée. Si l’utilité du perfectionnement souhaité n’est, certes, pas une condition posée par l’art. 27 LEI, comme le rappelle le TAPI, celle-ci pouvait dans le cas particulier de la présente espèce conduire l’OCPM à s’interroger sur les véritables motivations de la recourante. À ce propos, la recourante se plaint que l’OCPM puis le TAPI ont pris en compte le fait que le regroupement familial avait initialement été demandé. L’examen du formulaire M complété et signé de sa main le 30 septembre 2019 montre que seul ce motif a en effet été coché. La recourante invoque une erreur. Cependant, le courrier signé par sa mère et son beau-père le 30 octobre 2019 mentionne lui aussi le « regroupement », invoquant l’urgence de la situation après que sa grand-mère fut décédée et ajoutant qu’elle était invitée à venir « terminer ces études à Genève ». À supposer que la recourante et ses proches aient alors indiqué par erreur le regroupement familial, celle-ci a par la suite conclu dans ses recours subsidiairement à l’octroi d’une autorisation de séjour pour cas d’extrême gravité, soit un titre n’étant pas subordonné à l’accomplissement d’une formation en Suisse. Certes, elle fait valoir devant la chambre de céans qu’elle n’a fait que répondre aux arguments de l’OCPM, qui s’était spontanément penché sur la question. Cette circonstance ne l’obligeait toutefois pas à conclure subsidiairement à l’octroi d’un permis pour cas de rigueur. L’OCPM puis le TAPI étaient donc fondés à prendre en compte ces éléments et pouvaient, sans commettre ni excès ni abus de leur pouvoir d’appréciation, en inférer qu’il existait un risque non négligeable que la recourante ne retourne pas au B______ au terme de ses études. La recourante fait enfin valoir que la poursuite de sa formation au B______ serait impossible, faute pour elle de disposer d’appuis dans le pays et faute pour sa mère et son beau-père d’avoir les moyens de financer celle-ci. Les éventuelles difficultés d’ordre financier pour accéder à la formation dans le pays d’origine ne constituent pas un critère pour d’octroi d’une autorisation de séjour pour formation en Suisse, étant rappelé que l’art. 27 al. 1 let. c LEI pose la condition des ressources financières suffisantes. Aussi, et pour le cas où la mère et le beau-père de la recourante n’auraient pas les moyens de la soutenir financièrement, nonobstant l’engagement pris le 30 septembre 2019 dans le formulaire O de contribuer à hauteur de CHF 977.- par mois à son entretien durant cinq ans, et que la recourante ne pourrait au B______ bénéficier d’une bourse d’études, ce dont elle ne dit mot, cette circonstance ne serait pas décisive pour trancher le sort du litige. L’autorité jouit d’un très large pouvoir d’appréciation en matière de permis pour études, et la chambre de céans parvient à la conclusion que, dans le cas d’espèce, en tenant compte du caractère insolite du choix de la recourante de préparer en Suisse l’accès à une formation qu’elle avait déjà entreprise au B______, ainsi que de la non réalisation de la condition posée par l’art. 5 al. 2 LEI portant sur la garantie du retour au pays, l’OCPM n’a commis ni excès ni abus de son pouvoir d’appréciation et a refusé conformément à la loi de délivrer l’autorisation de séjour pour études. Le grief sera écarté.</w:t>
      </w:r>
    </w:p>
    <w:p>
      <w:r>
        <w:rPr>
          <w:b/>
        </w:rPr>
        <w:t>E. 3</w:t>
      </w:r>
    </w:p>
    <w:p>
      <w:r>
        <w:t>La recourante soutient qu’elle remplirait les conditions de l’autorisation pour cas individuel d’extrême gravité.![endif]&gt;![if&gt;</w:t>
      </w:r>
    </w:p>
    <w:p>
      <w:r>
        <w:rPr>
          <w:b/>
        </w:rPr>
        <w:t>E. 3.1</w:t>
      </w:r>
    </w:p>
    <w:p>
      <w:r>
        <w:t>Le 1 er janvier 2019 est entrée en vigueur une modification de la LEI et de l’OASA. Conformément à l'art. 126 al. 1 LEI, les demandes déposées, comme en l'espèce, après le 1 er janvier 2019 sont régies par le nouveau droit.![endif]&gt;![if&gt;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w:t>
      </w:r>
    </w:p>
    <w:p>
      <w:r>
        <w:rPr>
          <w:b/>
        </w:rPr>
        <w:t>E. 3.3</w:t>
      </w:r>
    </w:p>
    <w:p>
      <w:r>
        <w:t>Une personne étrangère peut également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4d).![endif]&gt;![if&gt;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w:t>
      </w:r>
    </w:p>
    <w:p>
      <w:r>
        <w:rPr>
          <w:b/>
        </w:rPr>
        <w:t>E. 3.4</w:t>
      </w:r>
    </w:p>
    <w:p>
      <w:r>
        <w:t>En l’espèce, la recourante soutient que son but n’est pas d’obtenir un permis humanitaire mais, l’OCPM ayant examiné la question d’office, elle fait valoir que son renvoi au B______ la plongerait dans une situation très précaire, car elle n’y aurait aucune famille pouvant subvenir à ses besoins.![endif]&gt;![if&gt; Les difficultés de réintégration de la recourante ne seront sans doute pas insignifiantes, compte tenu du fait qu’elle devra assurer son logement et sa subsistance. Toutefois, elle est jeune, en bonne santé, porteuse d’un titre B______ équivalant à une maturité, elle a déjà été admise au B______ dans la formation qu’elle souhaite accomplir et elle pourra faire valoir dans ce pays les compétences linguistiques et scolaires acquises en Suisse. Rien n’indique que sa mère et son beau-père ne pourront pas la soutenir financièrement depuis la Suisse au moins temporairement ni qu’elle ne pourra obtenir au B______ une bourse pour la poursuite de ses études. Surtout, sa réintégration ne sera pas plus difficile que pour ses compatriotes placés dans une situation semblable. Pour le surplus, la recourante ne soutient pas, à juste titre, qu’elle remplirait les autres conditions posées à l’octroi d’une autorisation de séjour pour cas individuel d’extrême gravité, en particulier la durée de son séjour ou encore une intégration socio-professionnelle particulièrement réussie. Elle ne soutient pas non plus, à bon droit, qu’elle pourrait se prévaloir de l’art. 8 CEDH, étant majeure à son arrivée en Suisse et ne se trouvant pas avec sa mère ou un autre membre de sa famille dans une relation de dépendance particulièrement forte. C’est ainsi à bon droit que l’OCPM a conclu qu’elle ne remplissait pas les conditions de l’octroi d’une autorisation de séjour pour cas individuel d’extrême gravité. Le grief sera écarté.</w:t>
      </w:r>
    </w:p>
    <w:p>
      <w:r>
        <w:rPr>
          <w:b/>
        </w:rPr>
        <w:t>E. 4</w:t>
      </w:r>
    </w:p>
    <w:p>
      <w:r>
        <w:t>La décision querellée ordonne le renvoi de la recourante.![endif]&gt;![if&gt;</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4.2</w:t>
      </w:r>
    </w:p>
    <w:p>
      <w:r>
        <w:t>En l’espèce, dès lors que l’OCPM a, à juste titre, refusé l’octroi d’une autorisation de séjour à la recourante, il devait prononcer son renvoi. En l’espèce, aucun motif ne permet de retenir que l’exécution du renvoi ne serait pas possible, licite ou ne pourrait raisonnablement être exigée. La recourante ne le soutient pas.![endif]&gt;![if&gt; Entièrement mal fondé, le recours sera rejeté.</w:t>
      </w:r>
    </w:p>
    <w:p>
      <w:r>
        <w:rPr>
          <w:b/>
        </w:rPr>
        <w:t>E. 5</w:t>
      </w:r>
    </w:p>
    <w:p>
      <w:r>
        <w:t>Vu l’issue du litige, un émolument de CHF 400.-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