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A/2174/2022 vom 22. September 2022</w:t>
      </w:r>
    </w:p>
    <w:p>
      <w:r>
        <w:t>GE Cour de justice, 2022-09-22, FR</w:t>
      </w:r>
    </w:p>
    <w:p>
      <w:r>
        <w:rPr>
          <w:b/>
        </w:rPr>
        <w:t xml:space="preserve">Quelle: </w:t>
      </w:r>
      <w:r>
        <w:t>https://mcp.opencaselaw.ch/entscheid/ge_gerichte_A_2174_2022</w:t>
      </w:r>
    </w:p>
    <w:p>
      <w:r>
        <w:t>FR: GE_GERICHTE A/2174/2022 du 22 septembre 2022</w:t>
      </w:r>
    </w:p>
    <w:p>
      <w:r>
        <w:t>IT: GE_GERICHTE A/2174/2022 del 22 settembre 2022</w:t>
      </w:r>
    </w:p>
    <w:p>
      <w:pPr>
        <w:pStyle w:val="Heading2"/>
      </w:pPr>
      <w:r>
        <w:t>Erwägungen</w:t>
      </w:r>
    </w:p>
    <w:p>
      <w:r>
        <w:rPr>
          <w:b/>
        </w:rPr>
        <w:t>E. 5</w:t>
      </w:r>
    </w:p>
    <w:p>
      <w:r>
        <w:t>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LPP).![endif]&gt;![if&gt;</w:t>
      </w:r>
    </w:p>
    <w:p>
      <w:r>
        <w:rPr>
          <w:b/>
        </w:rPr>
        <w:t>E. 6</w:t>
      </w:r>
    </w:p>
    <w:p>
      <w:r>
        <w:t>Conformément à l’art. 66 al. 2 LPP, l’employeur est le débiteur de la totalité des cotisations envers l’institution de prévoyance. Celle-ci peut majorer d’un intérêt moratoire les cotisations payées tardivement. ![endif]&gt;![if&gt;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 ATF 130 V 414 consid. 5 ; ATF 127 V 377 consid. 5e/bb et les références). Selon l’art. 105 al. 3 CO, des intérêts ne peuvent être portés en compte pour cause de retard dans les intérêts moratoires (RSAS 2003 p. 500 consid. 6.1). Le taux de l’intérêt moratoire prévu, tant à l’art. 104 al. 1 CO, qu’à l’art. 104 al. 2 CO est fixe et ne tient pas compte des fluctuations des taux d’intérêt liées au marché (ATF 130 III 312 consid. 7.1 ; cf. TERCIER/PICHONNAZ, Le droit des obligations, 2012, n. 1296). Si ni la preuve d’un intérêt moratoire conventionnel (en dérogation à l’art. 104 al. 1 CO), ni la preuve d’un intérêt conventionnel supérieur à 5 % (au sens de l’art. 104 al. 2 CO) ne sont apportées par le créancier, l’intérêt moratoire légal de 5 % est applicable en vertu de l’art. 104 al. 1 CO.</w:t>
      </w:r>
    </w:p>
    <w:p>
      <w:r>
        <w:rPr>
          <w:b/>
        </w:rPr>
        <w:t>E. 7</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 ![endif]&gt;![if&gt;</w:t>
      </w:r>
    </w:p>
    <w:p>
      <w:r>
        <w:rPr>
          <w:b/>
        </w:rPr>
        <w:t>E. 8</w:t>
      </w:r>
    </w:p>
    <w:p>
      <w:r>
        <w:t>L’objet du litige devant la juridiction cantonale est déterminé par les conclusions de la demande introduite (arrêt du Tribunal fédéral des assurances B.72/04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![endif]&gt;![if&gt; Le juge n’est toutefois pas lié par les conclusions des parties ; il peut ainsi adjuger plus ou moins que demandé, à condition de respecter le droit d’être entendu des parties (arrêt du Tribunal fédéral des assurances B.59/03 du 30 décembre 2003 consid. 4.1).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10</w:t>
      </w:r>
    </w:p>
    <w:p>
      <w:r>
        <w:t>En l’espèce, selon le contrat d’affiliation liant les parties, et par renvoi aux « conditions générales », ch. 2.3, la défenderesse s’est engagée à payer les cotisations sociales facturées par la demanderesse, ainsi que les indemnités liées aux frais de conseil et de prise en charge (ch. 2.3, let. a). La défenderesse n’a jamais fait valoir aucun motif justifiant qu’elle se soustraie au paiement et n’a jamais contesté les montants qui lui étaient réclamés par la demanderesse. Elle a, plusieurs fois, tardé à régler le montant des cotisations et indemnités réclamées. Elle a formé opposition au commandement de payer qui lui a été adressé en lien avec son obligation envers la demanderesse, sans motiver sa position. La demanderesse a établi, par décompte, les versements de la défenderesse et le montant de sa dette envers celle-ci, au 4 novembre 2021.![endif]&gt;![if&gt;</w:t>
      </w:r>
    </w:p>
    <w:p>
      <w:r>
        <w:rPr>
          <w:b/>
        </w:rPr>
        <w:t>E. 11</w:t>
      </w:r>
    </w:p>
    <w:p>
      <w:r>
        <w:t>S’agissant des frais administratifs, les art. 66 al. 1 LPP et 331 al. 3 CO fixent le principe de la parité des cotisations dans les domaines, respectivement obligatoire et surobligatoire. Ces deux dispositions n’exigent toutefois qu’une parité collective ou relative et non pas une parité individuelle : la somme des cotisations de l’employeur doit être au moins égale à la somme des cotisations des salariés. Cela n’exclut cependant pas que certains salariés aient à payer davantage que les autres, voire plus que ce que l’employeur verse pour eux personnellement, notamment s’ils occasionnent un travail administratif tout particulier, par exemple pour le versement anticipé ou la mise en gage de moyens de prévoyance tendant à l’acquisition de la propriété du logement (ATF 124 II 570 consid. 2). ![endif]&gt;![if&gt; Si tel est le cas, ni les art. 66 al. 1 LPP et 331 al. 3 CO, ni le principe d’égalité ne s’opposent au fait que les frais découlant d’une charge administrative excédant la mesure ordinaire soient mis à la charge de celui (salarié ou employeur) qui les occasionne. Cependant, comme il est difficile, notamment pour des raisons de praticabilité et de sécurité du droit, de faire la différence au cas par cas entre le travail administratif occasionné par une démarche ordinaire et celui causé par une démarche dépassant ce cadre basique – d’autant que le travail en résultant devrait faire l’objet d’un prélèvement individuel dont le montant serait fonction de l’excès de travail administratif qu’il conviendrait de distinguer préalablement, alors que cette limite n’est pas évidente – les impératifs liés à une conduite rationnelle de l’administration imposent de permettre une large forfaitisation des frais administratifs, à la condition que ces derniers soient prévus dans un règlement (lors de l’adoption duquel les employeurs comme les salariés peuvent de toute manière exercer leur influence, conformément à l’art. 51 LPP). On précisera que cette exigence d’une base réglementaire pour la perception de frais administratifs – qui concrétise les principes de gestion paritaire des institutions de prévoyance (art. 51 LPP) et d’égalité de traitement des destinataires – s’applique non seulement à la prévoyance obligatoire mais aussi surobligatoire (ATF 124 II 570 consid. 2 et 3 ; cf. aussi les arrêts du Tribunal fédéral B 44/00 du 19 mars 2001 et 9C_687/2017 du 2 février 2018). En revanche, il est interdit de reporter sur les assurés des frais liés à des vérifications relatives aux prestations dans le cadre de la prévoyance minimale LPP (Isabelle VETTER-SCHREIBER, Berufliche Vorsorge, n. 4 ad art. 66 LPP et les références). La perception de frais administratifs est possible pour autant qu’elle figure dans le règlement concernant les frais. En l’occurrence, le règlement concernant les frais (valable au 3 juillet 2019) prévoit, sous ch. 2.3 « Autres frais d’administration », la facturation de frais pour 1 er rappel de CHF 50.-, pour 2 ème rappel de CHF 100.-, pour réquisition de poursuite de CHF 300.- et pour mainlevée d’opposition de CHF 1'250.-. Les frais d’annulation du contrat s’élèvent, au minimum, à CHF 300.-. Les « conditions générales » prévoient sous la rubrique « Financement », ch. 2.3 let. f, qu’un intérêt de 6 % est prélevé sur les créances non payées à l’échéance. Compte tenu de ce qui précède, la chambre de céans considère que le règlement concernant les frais autorise la demanderesse à réclamer le paiement, non seulement des primes échues, mais également le montant des frais de rappel, des frais d’annulation du contrat, des frais de réquisition de poursuite et de mainlevée. Les conditions générales permettent à la demanderesse de réclamer un intérêt de 6 % sur le paiement des primes et indemnités de conseil échues. Dans son extrait de compte allant du 1 er janvier 2018 au 4 novembre 2021, daté du 4 novembre 2021, la demanderesse a récapitulé l’ensemble des mouvements de débit et de crédit, mentionnant les contributions sociales, les indemnités liées aux activités de conseil et de prise en charge, les frais de rappel, respectivement par CHF 20.- et CHF 50.- et de sommation, par CHF 100.-, ainsi que les intérêts débiteurs. Sont également mentionnés, les frais de résiliation du contrat par CHF 300.-, ainsi que les frais de poursuite par CHF 300.-. Le total des montants dus par la défenderesse à la demanderesse ressort de l’extrait des primes susmentionné et des documents fournis par cette dernière ; la chambre de céans considère que ces documents présentent un degré de vraisemblance prépondérante et le montant réclamé, soit CHF 12'642.50, doit être admis.</w:t>
      </w:r>
    </w:p>
    <w:p>
      <w:r>
        <w:rPr>
          <w:b/>
        </w:rPr>
        <w:t>E. 12</w:t>
      </w:r>
    </w:p>
    <w:p>
      <w:r>
        <w:t>La demanderesse conclut encore à l’octroi d’un intérêt moratoire à 6 %, dès le 9 octobre 2020 applicable à la créance due. La date du 9 octobre 2020 correspond effectivement au terme du délai octroyé pour le paiement du montant de CHF 12'642.50, selon courrier de mise en demeure du 23 septembre 2020.![endif]&gt;![if&gt; Prévu dans les conditions générales, le taux d’intérêt de 6 % depuis cette date doit donc être admis.</w:t>
      </w:r>
    </w:p>
    <w:p>
      <w:r>
        <w:rPr>
          <w:b/>
        </w:rPr>
        <w:t>E. 13</w:t>
      </w:r>
    </w:p>
    <w:p>
      <w:r>
        <w:t>Le montant de CHF 50.- pour frais de sommation a été ajouté dans la lettre de rappel du 23 octobre 2020, au capital dû par CHF 12'292.50, de même que le montant de CHF 300.- pour frais de poursuite, ce qui ascende à CHF 12'642.50 correspondant à la somme réclamée dans le commandement de payer notifié le 7 août 2021.![endif]&gt;![if&gt; Prévus par le règlement sur les frais, ces deux montants (CHF 50.- + CHF 300.-) doivent être admis. Le montant réclamé de CHF 12'642.50 correspond au montant vu supra, auquel la demanderesse a ajouté, dans les conclusions de sa demande en paiement, le montant de CHF 1’250.-, correspondant aux frais forfaitaires de mainlevée à teneur du règlement sur les frais, le tout avec un taux d’intérêt de 6 % admis entre les parties. Les calculs étant corrects et correspondant aux obligations admises par la défenderesse, par signature du contrat d’affiliation, cette dernière sera condamnée à payer le montant réclamé par la demanderesse, avec l’intérêt contractuel convenu.</w:t>
      </w:r>
    </w:p>
    <w:p>
      <w:r>
        <w:rPr>
          <w:b/>
        </w:rPr>
        <w:t>E. 14</w:t>
      </w:r>
    </w:p>
    <w:p>
      <w:r>
        <w:t>Reste à examiner la conclusion de la demanderesse tendant à obtenir la mainlevée définitive de l’opposition formée au commandement de payer dans la poursuite n° 1______. ![endif]&gt;![if&gt;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autrement dit, dont les décisions sont susceptibles d’un recours administratif auprès d’une autorité fédérale ou d’un recours de droit administratif (GILLIÉRON, op. cit., p. 1227 ; Carl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À teneur de l’art. 88 al. 2 LP, le droit du créancier de requérir la continuation de la poursuite se périme par un an à compter de la notification du commandement de payer (phr. 1) ; si une opposition a été formée, ce délai ne court pas entre l’introduction de la procédure judiciaire ou administrative et le jugement définitif (phr. 2). En l’occurrence, le commandement de payer a été notifié à la défenderesse le 7 août 2021, date à partir de laquelle le délai de péremption d’un an a commencé à courir (ATF 125 III 45 consid. 3b). Par conséquent, la poursuite n’était pas périmée lorsque la demanderesse a saisi la chambre de céans, le 1 er juillet 2022. En outre, la défenderesse n’a soulevé aucune exception énumérée à l’art. 81 LP (extinction de la dette, obtention d’un sursis ou de la prescription) et n’a réagi, ni aux mises en demeure de la demanderesse, ni aux courriers de la chambre de céans. La mainlevée définitive de l’opposition au commandement de payer sera ainsi prononcée à hauteur de CHF 12'642.50 dans la poursuite n o 1______, avec un intérêt moratoire de 6 % dès le 9 octobre 2020. En ce qui concerne les frais de poursuite, ils sont d'office supportés par le débiteur lorsque la poursuite aboutit (JdT 1974 III 32).</w:t>
      </w:r>
    </w:p>
    <w:p>
      <w:r>
        <w:rPr>
          <w:b/>
        </w:rPr>
        <w:t>E. 15</w:t>
      </w:r>
    </w:p>
    <w:p>
      <w:r>
        <w:t>Enfin, la demanderesse conclut à ce que la défenderesse soit condamnée au paiement de dépens, en raison de son comportement léger ou téméraire. ![endif]&gt;![if&gt; L'art. 73 al. 2 LPP précise que les cantons doivent prévoir une procédure simple, rapide et, en principe, gratuite. L'art. 89H al. 1 LPA prévoit quant à lui que la procédure est gratuite pour les parties, sous réserve de l'al. 4 (relatif à l'assurance-invalidité).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Le Tribunal fédéral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du droit des assurances sociales du 6 octobre 2000 [LPGA,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Une indemnité est allouée au demandeur qui obtient gain de cause (art. 89H al. 3 LPA). En l’occurrence, il ressort des pièces versées au dossier que la défenderesse a constamment tardé à payer les cotisations dues et ce avant même le dépôt de l’action en paiement. Elle s'est opposée au commandement de payer sans en motiver les raisons et n'a pas répondu aux mises en demeure de la demanderesse, pas plus qu'elle n'a contesté devoir les montants réclamés. Elle n’a fourni aucune explication pour n’avoir pas rempli ses obligations. Dès lors et conformément à la jurisprudence citée supra, la chambre de céans considère que la défenderesse a agi avec légèreté et peut donc être condamnée à payer des dépens à la demanderesse, représentée par un avocat. Compte tenu des démarches effectuées par le conseil de la demanderesse, soit le dépôt d'une action en paiement, la chambre de céans fixera le montant des dépens à CHF 1'200.-.</w:t>
      </w:r>
    </w:p>
    <w:p>
      <w:r>
        <w:rPr>
          <w:b/>
        </w:rPr>
        <w:t>E. 16</w:t>
      </w:r>
    </w:p>
    <w:p>
      <w:r>
        <w:t>L’art. 89H al. 1 LPA prévoit quant à lui que la procédure est gratuite pour les parties, sous réserve de l’al. 4 (relatif à l’assurance-invalidité).![endif]&gt;![if&gt;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