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A/2173/2005 vom 3. März 2006</w:t>
      </w:r>
    </w:p>
    <w:p>
      <w:r>
        <w:t>GE Cour de justice, 2006-03-03, FR</w:t>
      </w:r>
    </w:p>
    <w:p>
      <w:r>
        <w:rPr>
          <w:b/>
        </w:rPr>
        <w:t xml:space="preserve">Quelle: </w:t>
      </w:r>
      <w:r>
        <w:t>https://mcp.opencaselaw.ch/entscheid/ge_gerichte_A_2173_2005</w:t>
      </w:r>
    </w:p>
    <w:p>
      <w:r>
        <w:t>FR: GE_GERICHTE A/2173/2005 du 3 mars 2006</w:t>
      </w:r>
    </w:p>
    <w:p>
      <w:r>
        <w:t>IT: GE_GERICHTE A/2173/2005 del 3 marzo 2006</w:t>
      </w:r>
    </w:p>
    <w:p>
      <w:pPr>
        <w:pStyle w:val="Heading2"/>
      </w:pPr>
      <w:r>
        <w:t>Erwägungen</w:t>
      </w:r>
    </w:p>
    <w:p>
      <w:r>
        <w:rPr>
          <w:b/>
        </w:rPr>
        <w:t>E. 2</w:t>
      </w:r>
    </w:p>
    <w:p>
      <w:r>
        <w:t>Selon le rapport du Dr B__________, spécialiste FMH en oto-rhino-laryngologie et chirurgie cervico-faciale, du 8 septembre 2003, le recourant souffre principalement d'acouphènes bilatéraux, prédominant à gauche, et d'hypersensibilité au bruit.</w:t>
      </w:r>
    </w:p>
    <w:p>
      <w:r>
        <w:rPr>
          <w:b/>
        </w:rPr>
        <w:t>E. 3</w:t>
      </w:r>
    </w:p>
    <w:p>
      <w:r>
        <w:t>Le recourant s'est trouvé en incapacité totale de travail dès le 25 novembre 2003. Selon rapport médical du Dr B__________, du 12 mars 2004, l'incapacité totale de travail perdure. A l'examen des oreilles, les tympans sont normaux des deux côtés, et à l'audiogramme tonal, les seuils sont normaux des deux côtés. L'oto-émission acoustique et produits de distorsion révèlent un tracé conservé à droit et un tracé partiel à gauche. En conclusion l'audiogramme est actuellement normal mais les oto-émissions et produits de distorsion restent un peu perturbés à gauche. Cela pourrait correspondre aux séquelles du traumatisme acoustique dont il a été victime. L'activité professionnelle devrait être reprise le plus rapidement possible.</w:t>
      </w:r>
    </w:p>
    <w:p>
      <w:r>
        <w:rPr>
          <w:b/>
        </w:rPr>
        <w:t>E. 4</w:t>
      </w:r>
    </w:p>
    <w:p>
      <w:r>
        <w:t>Par décision du 11 juin 2004, la SUVA a refusé de prendre en charge toutes prestations relatives à l'incapacité de travail, au motif que celle-ci n'était pas en relation de causalité pour le moins probable avec l'accident du 10 avril 2003.</w:t>
      </w:r>
    </w:p>
    <w:p>
      <w:r>
        <w:rPr>
          <w:b/>
        </w:rPr>
        <w:t>E. 5</w:t>
      </w:r>
    </w:p>
    <w:p>
      <w:r>
        <w:t>Suite à l'opposition du recourant, la SUVA a confirmé sa décision en date du 18 mars 2005. Elle ajoute que la question relative au lien de causalité naturelle peut rester ouverte puisqu'en tous les cas il n'y a pas de causalité adéquate. L'accident est qualifié de moyennement grave, de sorte que les troubles psychiques du recourant doivent être examinés selon la jurisprudence du Tribunal fédéral des assurances (ci-après TFA), 115 V 133 , dont les conditions ne sont pas réalisées. Elle se réfère à l'avis de son médecin-conseil oto-rhino-laryngologue du 20 août 2004, selon lequel seule persiste l'hypersensibilité au bruit, qui ne relève pas d'un simple problème ORL mais d'une problématique psychiatrique.</w:t>
      </w:r>
    </w:p>
    <w:p>
      <w:r>
        <w:rPr>
          <w:b/>
        </w:rPr>
        <w:t>E. 6</w:t>
      </w:r>
    </w:p>
    <w:p>
      <w:r>
        <w:t>Dans son recours du 21 juin 2005, le recourant conclut à l'annulation de cette décision, et à ce qu'il soit dit que la SUVA doit au recourant toutes les prestations issues de la loi fédérale sur l'assurance-accidents du 20 mars 1981 (LAA) du 10 avril 2003, avec suite de dépens. Subsidiairement, il conclut à l'ordonnance d'une expertise médicale. Il allègue qu'un traumatisme acoustique existe bel et bien, le rapport graphique du Dr B__________ manquant cependant au dossier. Il se réfère également à un rapport de l'hôpital cantonal de Fribourg, du 7 décembre 2004, qui conclut à un examen ORL dans les limites de la norme, les acouphènes et l'intolérance au bruit étant apparus suite au traumatisme acoustique.</w:t>
      </w:r>
    </w:p>
    <w:p>
      <w:r>
        <w:rPr>
          <w:b/>
        </w:rPr>
        <w:t>E. 7</w:t>
      </w:r>
    </w:p>
    <w:p>
      <w:r>
        <w:t>Dans sa réponse du 30 août 2005 la SUVA conclut au rejet du recours. Elle se réfère pour l'essentiel au contenu de sa décision sur opposition.</w:t>
      </w:r>
    </w:p>
    <w:p>
      <w:r>
        <w:rPr>
          <w:b/>
        </w:rPr>
        <w:t>E. 8</w:t>
      </w:r>
    </w:p>
    <w:p>
      <w:r>
        <w:t>Le Tribunal a ordonné la comparution personnelle des parties qui s'est tenue en date du 25 octobre 2005. Après avoir décrit, à la demande du Tribunal, l'évènement du 10 avril 2003, le recourant a expliqué qu'après celui-ci, il avait repris le travail, s'attendant à ce que son état s'améliore régulièrement alors que c'est le contraire qui s'est produit, de sorte que dès l'automne 2003, il s'est trouvé en arrêt de travail. Le représentant de la SUVA a rappelé que le litige portait uniquement sur les indemnités journalières et frais médicaux postérieurs au mois de juin 2004, la SUVA ayant pris en charge le cas jusqu'à cette période. Une instruction écrite par le Tribunal de céans a été prévue auprès des Dr B__________ à Genève et C__________ de l'hôpital cantonal de Fribourg, aux fins de savoir s'il y a des lésions à des cellules nerveuses objectivables, dans l'affirmative si ces lésions génèrent les acouphènes ou l'hypersensibilité au bruit, ou les deux. Le contexte particulier relatif à l'enseignement d'un cours de dessin au cycle d'orientation, s'est-à-dire auprès d'adolescents, devait être expliqué aux médecins qui devaient également se déterminer sur la question de savoir si l'état de santé était ou non à ce jour stabilisé, et quelles en étaient le cas échéant les séquelles.</w:t>
      </w:r>
    </w:p>
    <w:p>
      <w:r>
        <w:rPr>
          <w:b/>
        </w:rPr>
        <w:t>E. 9</w:t>
      </w:r>
    </w:p>
    <w:p>
      <w:r>
        <w:t>Par courrier du 6 décembre 2005, circonstancié, le Dr B__________ rappelle l'historique et l'anamnèse actuelle et répond, en substance, comme suit aux questions du Tribunal : - Il n'y a aucune méthode permettant d'objectiver des lésions des cellules nerveuses auditive de l'oreille interne du vivant d'une personne. La différence constatée dans les tracés des oto-émissions acoustiques entre les deux oreilles, pourrait être liée à une destruction partielle des cellules cillées externes comme conséquence du traumatisme acoustique du 10 avril 2003. - S'agissant de la totale incapacité de travail, ce praticien a du mal à l'admettre, car le recourant n'est pas fortement exposé au bruit comme le sont les personnes qui travaillent dans l'industrie ou le bâtiment. L'état de santé lui parait stabilisé à ce jour. Une expertise psychiatrique serait utile vu l'importance des plaintes relatives à l'intolérance au bruit par rapport aux résultats des examens. Par courrier du 9 janvier 2006, le Dr D__________, médecin adjoint de la clinique oto-rhino-laryngologie de l'hôpital cantonal de Fribourg a répondu qu'il n'y a pas de lésions objectivables à des cellules nerveuses vu les rapports des examens effectués. Les acouphènes bilatéraux et l'hypersensibilité au bruit sont en rapport direct avec le traumatisme acoustique subi, mais il ne s'agit pas de lésions objectivables ni quantifiables. L'incapacité de travail peut être justifiée dans une profession fortement exposée au bruit. L'état de santé est stabilisé à ce jour, les séquelles sont le scotome du point de vue auditif à 8000 Hz avec un seuil auditif élevé à 30 dB, les acouphènes invalidants et l'hypersensibilité au bruit.</w:t>
      </w:r>
    </w:p>
    <w:p>
      <w:r>
        <w:rPr>
          <w:b/>
        </w:rPr>
        <w:t>E. 10</w:t>
      </w:r>
    </w:p>
    <w:p>
      <w:r>
        <w:t>Une nouvelle comparution personnelle des parties a eu lieu le 31 janvier 2006. A cette occasion les parties ont déclaré être d'accord que le Tribunal ordonne une expertise psychiatrique du recourant. Un délai au 28 février a été fixé aux parties pour donner un ou deux noms d'experts ainsi qu'une liste de questions.</w:t>
      </w:r>
    </w:p>
    <w:p>
      <w:r>
        <w:rPr>
          <w:b/>
        </w:rPr>
        <w:t>E. 11</w:t>
      </w:r>
    </w:p>
    <w:p>
      <w:r>
        <w:t>Par courrier du 9 février 2006 la SUVA a indiqué renoncer à cette faculté.</w:t>
      </w:r>
    </w:p>
    <w:p>
      <w:r>
        <w:rPr>
          <w:b/>
        </w:rPr>
        <w:t>E. 12</w:t>
      </w:r>
    </w:p>
    <w:p>
      <w:r>
        <w:t>Par courrier du 28 février 2006 le recourant a proposé comme nom d'expert le Dr Pierre E__________, ainsi qu'une liste de questions qui sera en partie reprise ultérieurement. EN DROIT 1. Le Tribunal constate préalablement qu’il est compétent en la matière (art. 56 V al. 1 let a ch. 5 LOJ) et que le recours est recevable à la forme (art. 56 à 60 LPGA et 106 LAA). 2.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3. En l'espèce, il apparaît qu'il n'y a pas d'examen médical ou d'analyse qui permette d'établir l'existence de lésions objectivables de l'oreille interne. Les plaintes du recourant sont par ailleurs concentrées sur la problématique de l'hypersensibilité au bruit. Celle-ci est clairement en lien avec l'état psychique du recourant comme l'ont relevé tous les médecins consultés. La question à résoudre est donc de savoir si l'hypersensibilité invalidante dont souffre aujourd'hui le recourant est due à un trouble psychique causé par l'évènement du 10 avril 2003 ou sans lien de causalité avec ce dernier. 4. Par conséquent une expertise psychiatrique du recourant se justifie, ce que les parties ont par ailleurs admis. Les parties ont bénéficié des facultés prévues par les art. 38 et ss de la loi sur la procédure administrative (LPA). Le Dr E__________ a confirmé, sur téléphone du greffe, qu'il pourrait accepter le mandat d'expertise et procéder à celle-ci dans des délais raisonnables. Par conséquent, la présente expertise lui sera confiée.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