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A/2172/2005 vom 29. November 2005</w:t>
      </w:r>
    </w:p>
    <w:p>
      <w:r>
        <w:t>GE Cour de justice, 2005-11-29, FR</w:t>
      </w:r>
    </w:p>
    <w:p>
      <w:r>
        <w:rPr>
          <w:b/>
        </w:rPr>
        <w:t xml:space="preserve">Quelle: </w:t>
      </w:r>
      <w:r>
        <w:t>https://mcp.opencaselaw.ch/entscheid/ge_gerichte_A_2172_2005</w:t>
      </w:r>
    </w:p>
    <w:p>
      <w:r>
        <w:t>FR: GE_GERICHTE A/2172/2005 du 29 novembre 2005</w:t>
      </w:r>
    </w:p>
    <w:p>
      <w:r>
        <w:t>IT: GE_GERICHTE A/2172/2005 del 29 novembre 2005</w:t>
      </w:r>
    </w:p>
    <w:p>
      <w:pPr>
        <w:pStyle w:val="Heading2"/>
      </w:pPr>
      <w:r>
        <w:t>Erwägungen</w:t>
      </w:r>
    </w:p>
    <w:p>
      <w:r>
        <w:rPr>
          <w:b/>
        </w:rPr>
        <w:t>E. 13</w:t>
      </w:r>
    </w:p>
    <w:p>
      <w:r>
        <w:t>Par acte du 6 octobre 2005, l'AFC conclut au rejet du recours ainsi qu'à la confirmation de la décision querellée. L'école Z __________ S.A. avait la maîtrise de la direction de la recourante, elle était donc associée Z __________ S.A. Les rectifications apportées par l'administration au taux d'intérêts étaient justifiées, dans la mesure où elle avait utilisé un taux admissible de 6,5 % conformément à la circulaire n° 4 du 5 février 2001.</w:t>
      </w:r>
    </w:p>
    <w:p>
      <w:r>
        <w:rPr>
          <w:b/>
        </w:rPr>
        <w:t>E. 14</w:t>
      </w:r>
    </w:p>
    <w:p>
      <w:r>
        <w:t>Le 10 octobre 2005, les parties ont été informées que la cause était gardée à juger. EN DROIT 1. Interjeté en temps utile devant la juridiction compétente, le recours est à cet égard recevable (art. 53 al. 1 de la loi de procédure fiscale du 4 octobre 2001- Lfisc - D 3 17). 2. La contribuable demande au tribunal de céans de calculer les intérêts payés à l'Ecole Z __________ S.A. (Vaud) sur la moitié des pertes reportées, alors qu'elle en avait nullement fait mention à la CCRMI. Agissant ainsi, la recourante dépose une conclusion nouvelle. Se pose donc la question de l'admissibilité de cette dernière. a. L'objet d'une procédure administrative ne peut pas s'étendre ou qualitativement se modifier au fil des instances. Il peut uniquement se réduire dans la mesure où certains éléments de la décision attaquée ne sont plus contestés devant l'autorité de recours (JAAC 1999, no 78, p. 734.) b. Si le recourant est libre de contester tout ou partie de la décision attaquée conformément à la maxime de disposition,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(B. BOVAY, Procédure administrative, Lausanne 2000, p. 390-391). En l'espèce, la conclusion nouvelle de la recourante sera déclarée irrecevable. 3. La recourante fait valoir que le taux d'intérêt de 9,4 % payé par __________ S.A. à l'Ecole Z __________ S.A. (Vaud) est justifié. Elle conclut à la prise en compte intégrale de ces intérêts. a. Selon l'article 11 de la loi sur l'imposition des personnes morales  du 23 septembre 1994 (LIPM - D 3 15), l'impôt sur le bénéfice a pour objet le bénéfice net. Est considéré comme bénéfice net imposable, le bénéfice tel qu'il résulte du compte profits et pertes (art.12 let. a LIPM). b. Les prestations qu'une société anonyme fait directement ou indirectement à ses actionnaires, à ses participants ou à des personnes la ou les touchant de près, sans contre-prestation, c'est-à-dire volontaires, et qu'elle n'aurait pas faites à des tiers qui lui sont étrangers dans les mêmes circonstances, ne sont pas justifiées par l'usage commercial et doivent être ajoutées à son rendement, car elles n'ont pas le caractère de frais généraux pour la société. Le Tribunal fédéral recourt aux notions de distribution dissimulée de bénéfice et de prestation appréciable en argent (ATF 2A. 461/2001 du 21 février 2002 ; RDAF 1995 p. 38ss). c. Les formes d'apparition des prestations appréciables en argent sont multiples. Elles peuvent être réalisées par un accroissement injustifié des frais généraux, notamment par un paiement d'intérêts disproportionnés pour un prêt de l'actionnaire. En présence d'une prestation appréciable en argent, le fisc réintégrera la prestation dans les bénéfices imposables de la société (ATF 2P. 49/1998 ; X. OBERSON, Droit fiscal suisse, Genève 2002, p. 190). d. Selon la circulaire n° 4 du 5 février 2001, il y prestation appréciable en argent si la société bonifie sur ses dettes envers ses actionnaires, associés ou personnes les touchant de près, un taux d'intérêt plus élevé que 6,5 %. e. 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 ATF 121 II 478 consid. 2b ; ATA/839/2993 du 18 novembre 2003 consid. 3c et les références citées). f.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En l'espèce, il ressortait des réponses données par X __________ S.A. aux questionnaires "renseignements complémentaires relatifs aux comptes 2002" et "état des dettes", reçus par l'AFC le 7 juillet 2003, que l'Ecole Z __________ S.A. (Vaud) était un proche de X __________ S.A. Dans son courrier du 30 novembre 2004, la recourante a précisé que celle-ci n'était pas actionnaire de X __________ S.A., mais que deux de ses administrateurs faisaient partie de son conseil d'administration. L'Ecole Z __________ S.A. (Vaud) avait donc la maîtrise du X __________, de la définition de la stratégie, de la politique de gestion et de l'engagement des collaborateurs. C'est la raison pour laquelle elle était mieux en mesure d'apprécier les bénéfices potentiels qu'un banquier. Au vu de ce qui précède, le tribunal de céans constate que l'Ecole Z __________ S.A. (Vaud) ayant accordé le prêt est une proche X __________ S.A. 4. Selon un principe généralement admis en matière fiscale, on considère que l’administration supporte le fardeau de la preuve de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ATA/792/2003 du 28 octobre 2003 ; ATA/384/2003 du 20 mai 2003 ; RDAF 1998 II 24 ; X. OBERSON, Droit fiscal suisse, Bâle 2002, p. 431 n. 9 et références citées). A l'appui de son recours, la recourante a joint un avis d'échéance du Crédit Suisse S.A., daté du 31 décembre 2004, qui fait état d'un prêt garanti par une hypothèque à un taux de 7,050% pour la période du 10 octobre au 31 décembre 2004, ainsi qu'un relevé de compte du Crédit Suisse S.A., daté du 30 juin 2002, qui fait mention d'un taux d'intérêt débiteur de 9,5% ainsi que d'une commission sur crédit de 1%, soit un total de 10,5%. Le tribunal de céans considère que la recourante n'a pas réussi à apporter la preuve que le taux de 9, 4 % payé par X __________ S.A. à l'Ecole Z __________ S.A. (Vaud), correspondait bien au taux du marché. Rien n'indique que ce dernier s'élève à 10 %, comme le prétend X __________ S.A. et que le taux d'intérêt appliqué par Crédit Suisse S.A. à l'Ecole Y __________ S.A. n'est pas extraordinaire. Conformément à la circulaire n° 4 du 5 février 2001, le Tribunal administratif retiendra un taux d'intérêt admissible de 6, 5 % pour le calcul de l'ICC. Partant, le grief de la recourante est mal fondé. 5. Au vue de ce qui précède, le recours sera rejeté et la décision de la CCRMI sera confirmée. Un émolument de CHF 1'000.-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