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A/2170/2023 vom 20. März 2025</w:t>
      </w:r>
    </w:p>
    <w:p>
      <w:r>
        <w:t>GE Cour de justice, 2025-03-20, FR</w:t>
      </w:r>
    </w:p>
    <w:p>
      <w:r>
        <w:rPr>
          <w:b/>
        </w:rPr>
        <w:t xml:space="preserve">Quelle: </w:t>
      </w:r>
      <w:r>
        <w:t>https://mcp.opencaselaw.ch/entscheid/ge_gerichte_A_2170_2023</w:t>
      </w:r>
    </w:p>
    <w:p>
      <w:r>
        <w:t>FR: GE_GERICHTE A/2170/2023 du 20 mars 2025</w:t>
      </w:r>
    </w:p>
    <w:p>
      <w:r>
        <w:t>IT: GE_GERICHTE A/2170/2023 del 20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des prestations de l'assurance-invalidité, plus particulièrement à une rente d'invalidité et/ou à des mesures d'ordre professionnel.</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la décision querellée a certes été rendue postérieurement au 1 er janvier 2022. Toutefois, la demande de prestations ayant été déposée en mars 2021 et le délai d'attente d'une année étant déjà échu avant l'entrée en vigueur du nouveau droit, un éventuel droit à une rente d’invalidité naîtrait en septembre 2021, soit antérieurement au 1 er janvier 2022 ( cf . art. 28 al. 1 let. b et 29 al. 1 LAI). Les dispositions applicables seront par conséquent citées dans leur teneur en vigueur jusqu’au 31 décembre 2021.</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il sied en premier lieu d’examiner la force probante de l'expertise du 3 mars 2023, contestée par le recourant. Ce dernier fait en particulier valoir que l'expertise souffre d'un défaut de motivation s'agissant de la baisse de rendement et de la capacité de travail retenues – 90% dans une activité adaptée –, taux difficilement compréhensible selon lui, vu ses nombreuses limitations concernant notamment le port de charges, la marche et les mouvements du bras droit. Il reproche en outre aux experts de ne pas avoir décrit de domaine professionnel adapté à son état de santé et estime que les réponses des Drs H______ et D______ aux questions de la Cour de céans sont en complète discordance avec les conclusions de l'expertise, remettant ces dernières en cause.</w:t>
      </w:r>
    </w:p>
    <w:p>
      <w:r>
        <w:rPr>
          <w:b/>
        </w:rPr>
        <w:t>E. 4.2</w:t>
      </w:r>
    </w:p>
    <w:p>
      <w:r>
        <w:t>Le recourant ne peut être suivi lorsqu'il affirme que l'expertise n'est pas motivée et est lacunaire. Les évaluations rhumatologique et psychiatrique réalisées sont au contraire fondées sur toutes les pièces du dossier, y compris des documents médicaux complémentaires fournis par ses soins, comprennent une anamnèse, la description de ses plaintes et d'une journée-type, un examen clinique, des diagnostics et des limitations fonctionnelles clairs, ainsi qu'une appréciation convaincante de la capacité de travail. Les passages que le recourant cite dans son écriture du 4 septembre 2023, en se prévalant de ce qu'ils ne sont pas motivés, ne sont que des extraits isolés de l'expertise et synthétisent les propos développés plus amplement dans la partie afférente à l'évaluation médicale. Ainsi, sur le plan rhumatologique, bien que les plaintes émises, essentiellement au niveau des genoux, du rachis cervical, des lombaires et du membre supérieur droit, soient importantes et soient en relation avec des atteintes avérées, l'expert a exposé de manière convaincante qu'elles n'étaient pas cohérentes et plausibles, au vu des résultats satisfaisants de l'examen somatique. Il a dès lors retenu des discordances dans les plaintes du recourant et un degré léger de gravité des troubles, tout en admettant plusieurs limitations fonctionnelles liées au besoin d'épargne des membres atteints. Ni les résultats de l'examen somatique, ni l'existence d'une majoration des plaintes ne sont remis en cause par les médecins traitants, le Dr E______, rhumatologue, ayant lui aussi fait une observation similaire ( cf . ses rapports des 18 février 2020 et 2 mars 2021). Les limitations fonctionnelles d'ordre ostéoarticulaire énoncées ne sont par ailleurs pas expressément contestées, le Dr H______ ayant au contraire indiqué s'y rallier. La conclusion consensuelle des experts concernant la capacité de travail du recourant de 90% dans une activité adaptée est en outre expliquée par le fait que l'expert rhumatologue a admis une baisse de rendement de 10% en raison des atteintes dégénératives, lesquelles impliquent une baisse de la performance durant le temps de présence admissible de 8h30 par jour, alors qu'aucune atteinte psychiatrique n'est reconnue. Il sied par ailleurs de constater que l'extrait de l'expertise cité par le recourant, selon lequel sa performance est non réduite, concerne uniquement l'aspect psychiatrique et est donc en parfaite adéquation avec l'évaluation de l'expert ne retenant aucune atteinte sur ce plan. Aucun autre élément du dossier ne permet en outre de remettre en cause les conclusions de l'expert psychiatre, l'évocation, par le médecin généraliste, d'un manque de concentration et d'une tendance dépressive avec des insomnies et des idées noires étant manifestement insuffisante à jeter le doute sur l'appréciation faite par le spécialiste, sur la base d'un entretien approfondi, d'un examen clinique, de la prise en compte d'une journée-type et d'une analyse de la cohérence et de la plausibilité. À ce titre, le Dr G______ a en particulier relevé que le recourant ne décrivait aucune limitation fonctionnelle de nature psychiatrique, se plaignant de difficultés physiques et se disant dépressif à cause de l'intensité des douleurs, tout en rapportant de nombreuses activités distractives. L'examen clinique ne retrouvait aucun signe de la lignée dépressive ou anxieuse, ni ne mettait en évidence un trouble de la concentration, de l'attention ou de la mémoire, les deux premières facultés ayant été jugées « stables et de très bonne qualité ». Ces éléments, associés au fait que les examens sanguins ne retrouvaient pas de traces des traitements psychiatriques affirmés être pris depuis une année, ne rendaient ni cohérente ni plausible toute perte de fonctionnalité qui serait de nature psychiatrique. Une telle appréciation apparaît convaincante et la critique tirée de l'absence d'un examen neuropsychologique tombe à faux, une atteinte sur ce plan-là n'ayant pas été objectivée par l'expert. Au vu de ce qui précède, il faut reconnaître que les conclusions de l'expertise du 3 mars 2023 ne souffrent d'aucun défaut de motivation, tant sur le plan rhumatologique que psychiatrique.</w:t>
      </w:r>
    </w:p>
    <w:p>
      <w:r>
        <w:rPr>
          <w:b/>
        </w:rPr>
        <w:t>E. 4.3</w:t>
      </w:r>
    </w:p>
    <w:p>
      <w:r>
        <w:t>S'agissant du reproche de l'absence de description, par les experts, d'une activité professionnelle concrète adaptée aux limitations fonctionnelles du recourant, il sied de rappeler que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(arrêt du Tribunal fédéral 9C_484/2016 du 10 février 2017 consid. 4.2.1 et les références). Ainsi, selon une jurisprudence constante, l'évaluation des activités adaptées aux limitations fonctionnelles est du ressort de l'administration, qui doit éventuellement faire appel à des spécialistes tels que des conseillers professionnels, et non du médecin, à qui il incombe en premier lieu de déterminer lesdites limitations fonctionnelles (ATF 140 V 193 consid. 3.2 ; 107 V 17 consid. 2b ; arrêt du Tribunal fédéral 8C_545/2012 du 25 janvier 2013 consid. 3.2.1). Le grief est, partant, mal fondé.</w:t>
      </w:r>
    </w:p>
    <w:p>
      <w:r>
        <w:rPr>
          <w:b/>
        </w:rPr>
        <w:t>E. 4.4</w:t>
      </w:r>
    </w:p>
    <w:p>
      <w:r>
        <w:t>Enfin, les prises de position des Drs D______ et H______ émises au cours de la procédure de recours ne sauraient remettre en question les conclusions de l'expertise bidisciplinaire du 3 mars 2023. S'agissant des réponses du médecin généraliste, il sied de constater qu'elles sont non seulement vagues et peu informatives, mais qu'elles sont au surplus muettes quant à la capacité de travail du recourant dans une activité adaptée, ledit médecin se contentant d’affirmer qu’une activité physique est impossible, ce qui n'a jamais été litigieux. Les différentes atteintes qu'il cite à titre de diagnostics limitant la capacité de travail semblent par ailleurs être la liste de toutes les pathologies affectant le recourant, sans distinction de leur réel impact sur la capacité de travail (mention, par exemple, d'une intolérance au lactose), pour certaines déjà établies précédemment (kystes rénaux) et n'ayant jusqu'alors pas été jugées incapacitantes. Comme le fait par ailleurs valoir le SMR, si l'hypercalcémie néoplasique – seulement suspectée en juin 2024 et jamais évoquée avant le prononcé de la décision litigieuse – venait à se concrétiser, il s'agirait d'une atteinte nouvelle pouvant, le cas échéant, justifier une nouvelle demande de prestations. En l'état, celle-ci ne peut être prise en considération dans le cadre de l'examen de la légalité de la décision du 30 mai 2023. Quant aux troubles de l'équilibre mentionnés par le Dr D______, a priori en tant que limitations fonctionnelles, ils ne peuvent être admis sans autre analyse spécifique, les examens neurologiques versés au dossier ne faisant au contraire état d'aucune anomalie à cet égard ( cf . rapports d'électroneuromyographies des 4 février 2020 et 11 avril 2022). Le manque de concentration évoqué par ce médecin, qui n'est d'ailleurs pas qualifié de trouble de la concentration, n'a de surcroît pas été objectivé par le Dr G______, comme déjà relevé. Il en va de même de la tendance dépressive. Concernant le Dr H______, celui-ci a indiqué qu'une aponévrosite plantaire bilatérale évoluant par crises et l'obésité du recourant, aggravant les troubles ostéoarticulaires, devaient aussi être prises en considération en tant que diagnostics impactant la capacité de travail. Il a au surplus mentionné être d'accord avec les limitations fonctionnelles retenues dans l'expertise, mais estimer la capacité de travail du recourant effective en temps et en rendement dans une activité adaptée entre 25% et 50%. S'agissant de l'aponévrosite plantaire, il sied de constater que la présence de talalgies est ancienne et a été jugée non incapacitante non seulement par l'expert mandaté par l'assurance perte de gain, mais aussi par le Dr I______, celui-ci relevant que la palpation du pied était insensible et que le recourant avait pu marcher sur la pointe des pieds et les talons lors de l'examen clinique. Le diagnostic de pied plat de stade 1 non incapacitant a donc été retenu dans le rapport d'expertise. Concernant l'obésité, mentionnée dès le début du dossier, son analyse en tant que diagnostic incapacitant ou non varie en fonction du rapport médical en cause sans que les médecins l'ayant jugée telle ne décrivent précisément son incidence fonctionnelle sur la capacité de travail. Le constat du facteur aggravant de l'obésité sur les troubles ostéoarticulaires, souligné par le Dr H______, est d'ailleurs partagé par d'autres médecins traitants, notamment le Dr E______, dont le rapport du 2 mars 2021 était connu de l'expert rhumatologue. Ainsi, dans la mesure où le Dr H______ ne fait pas état d'autres limitations fonctionnelles que celles retenues par l'expert, le fait de savoir si l'obésité doit être classifiée en tant que diagnostic incapacitant, ou s'il s'agit uniquement d'un facteur aggravant des troubles ostéoarticulaires, est sans portée. En définitive, il apparaît que l'orthopédiste traitant ne fait pas état de diagnostics différentiels ou de limitations qui auraient été oubliés par l'expert, mais apprécie uniquement de manière différente la capacité de travail du recourant dans une activité adaptée. Son évaluation à ce propos est cependant peu précise, une large fourchette entre 25% et 50% étant retenue, et fait référence à des facteurs extra-médicaux ou psychosociaux (barrière de la langue, corpulence, capacité à se déplacer), qui ne doivent pas être pris en considération par l'assurance-invalidité ( cf . à ce propos, voir notamment l'ATF 127 V 294 consid. 5). Compte tenu, du reste, de la divergence entre un mandat thérapeutique et un mandat d'expertise et de la force probante accrue accordée à une expertise en l'absence d'éléments objectifs permettant de remettre en causes ses conclusions ( cf . consid. 3.3 ci-dessus), l'évaluation de la capacité de travail faite par les experts doit être confirmée. Plus globalement, il sied en outre de relever que les conclusions de l'expertise bidisciplinaire se recoupent largement avec celles de l'expertise mise sur pied par l'assurance perte de gain en 2018 et sont également proches des avis émis par plusieurs médecins traitants lors de l'instruction de la première demande de prestations, tant concernant les empêchements fonctionnels que la capacité de travail dans une activité sédentaire, alors jugée possible. Les médecins du recourant n'établissent par ailleurs pas clairement pour quelles raisons médicales ils ont ensuite évalué différemment sa capacité de travail dans une activité adaptée, le Dr E______ faisant, au contraire, valoir des motifs extra-médicaux ( cf . rapport du 5 juillet 2022 mentionnant la longue période d'inactivité du recourant, une kinésiophobie, voire une sinistrose). Au surplus, la nouvelle pièce médicale produite par le recourant au cours de la procédure de recours (scanner du 23 mai 2023) ne met pas en évidence de nouveaux troubles, mais évoque ceux déjà pris en considération par l'intimé dans le cadre de l'instruction de la demande. Elle n'est par conséquent pas déterminante pour l'issue du litige.</w:t>
      </w:r>
    </w:p>
    <w:p>
      <w:r>
        <w:rPr>
          <w:b/>
        </w:rPr>
        <w:t>E. 4.5</w:t>
      </w:r>
    </w:p>
    <w:p>
      <w:r>
        <w:t>Compte tenu de ce qui précède, une pleine valeur probante peut être accordée à l'expertise bidisciplinaire du 3 mars 2023 et le grief tiré d'une instruction lacunaire du cas doit être rejeté. Les mesures d'instruction sollicitées par le recourant (mise en œuvre d'une expertise judiciaire et d’une observation professionnelle) doivent ainsi être rejetées, par appréciation anticipée des preuves (ATF 145 I 167 consid. 4.1 et les références ; 140 I 285 consid. 6.3.1 et les références).</w:t>
      </w:r>
    </w:p>
    <w:p>
      <w:r>
        <w:rPr>
          <w:b/>
        </w:rPr>
        <w:t>E. 5.1</w:t>
      </w:r>
    </w:p>
    <w:p>
      <w:r>
        <w:t>Dans un second moyen, le recourant se prévaut de ce que l'intimé a mal évalué son invalidité, celle-ci ayant été fixée à un taux plus bas que dans la décision du 14 mai 2020, alors que, dans l'intervalle, son état de santé s'est aggravé. Le revenu sans invalidité pris en considération est également plus bas lors du second calcul et l'intimé n'aurait, à tort, retenu aucun abattement supplémentaire sur le salaire avec invalidité.</w:t>
      </w:r>
    </w:p>
    <w:p>
      <w:r>
        <w:rPr>
          <w:b/>
        </w:rPr>
        <w:t>E. 5.2</w:t>
      </w:r>
    </w:p>
    <w:p>
      <w:r>
        <w:t>Concernant les règles d'évaluation de l'invalidité, il convient de souligner ce qui suit.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5.3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w:t>
      </w:r>
    </w:p>
    <w:p>
      <w:r>
        <w:rPr>
          <w:b/>
        </w:rPr>
        <w:t>E. 5.4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Dans un arrêt de principe, le Tribunal fédéral a estimé qu’il n’existe pas de motifs sérieux et objectifs justifiant une modification de sa jurisprudence relative à l’application des ESS dans le cadre de la détermination du degré d’invalidité des assurés (ATF 148 V 174 ).</w:t>
      </w:r>
    </w:p>
    <w:p>
      <w:r>
        <w:rPr>
          <w:b/>
        </w:rPr>
        <w:t>E. 5.5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123 V 150 consid. 2 et les références ; arrêt du Tribunal fédéral 8C_337/2009 du 18 février 2010 consid. 7.5).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 er mars 2023 consid. 7.2.3 et les références). Les limitations fonctionnelles justifiant une diminution de rendement déjà prises en compte dans l'évaluation de la capacité de travail n'ont par ailleurs pas à être retenues une seconde fois lors de la détermination de l'abattement (arrêt du Tribunal fédéral 9C_778/2020 du 27 août 2021 consid. 6 et la référence). En outre, selon la jurisprudence, lorsqu'une personne assurée est capable de travailler à plein temps, mais avec une diminution de rendement, celle-ci est prise en considération dans la fixation de la capacité de travail. Il n'y a pas lieu, en sus, d'effectuer un abattement à ce titre (arrêt du Tribunal fédéral 9C_780/2023 du 23 avril 2024 consid. 6 et les références).</w:t>
      </w:r>
    </w:p>
    <w:p>
      <w:r>
        <w:rPr>
          <w:b/>
        </w:rPr>
        <w:t>E. 5.6</w:t>
      </w:r>
    </w:p>
    <w:p>
      <w:r>
        <w:t>Le salaire fondé sur l’ESS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 cf . ATF 143 V 295 consid. 4.1.3 ; arrêt du Tribunal fédéral 8C_659/2022 du 2 mai 2023 consid. 7.2).</w:t>
      </w:r>
    </w:p>
    <w:p>
      <w:r>
        <w:rPr>
          <w:b/>
        </w:rPr>
        <w:t>E. 5.7</w:t>
      </w:r>
    </w:p>
    <w:p>
      <w:r>
        <w:t>En l'occurrence, le fait que l'invalidité ait été fixée à 14% dans la décision du 14 mai 2020, respectivement à 7% dans la décision querellée, alors que l'état de santé du recourant se serait péjoré dans l'intervalle, n'est pas suffisant pour retenir une évaluation contraire au droit. D'une part, la notion d'invalidité en droit des assurances sociales est une notion économique et déterminer son taux est une opération mathématique consistant à chiffrer la perte de gain, laquelle est tributaire de certaines données statistiques pouvant varier au fil du temps lorsque, comme en l'espèce, la personne assurée n'a pas repris d'emploi après son atteinte à la santé. Ainsi, en l'occurrence, le revenu final avec invalidité pris en considération en 2023 était légèrement plus élevé que celui retenu en 2020, en fonction de l'actualisation des paramètres de calcul, qui ne sont pas remis en cause par le recourant. D'autre part, l'intimé était fondé à revoir la question de l'abattement et à s'écarter du taux de 10% accordé en 2020 en raison des limitations fonctionnelles, sur le vu des résultats de l'expertise mise en œuvre, aboutissant à la conclusion d'une pleine capacité de travail dans une activité adaptée, mais avec une diminution de rendement de 10%. En effet, selon la jurisprudence, les limitations fonctionnelles justifiant une diminution de rendement déjà prises en compte dans l'évaluation de la capacité de travail n'ont pas à être retenues une seconde fois lors de la détermination de l'abattement. Dans le même ordre d'idée, lorsqu'une personne assurée est capable de travailler à plein temps mais avec une diminution de rendement, celle-ci est déjà prise en considération dans la fixation de la capacité de travail et il n'y a pas lieu, en sus, d'effectuer un abattement à ce titre ( cf . consid. 5.5 supra ). Il n'existe par ailleurs pas d'autres facteurs qui pourraient justifier, aux yeux de la Cour de céans, un abattement du salaire avec invalidité dans le cas concret. Bien qu'il invoque le critère de la nationalité, le recourant ne développe aucune argumentation à ce propos. Or, un potentiel désavantage salarial doit être étayé concrètement (ATF 146 V 16 ). Le recourant dispose au surplus d'une autorisation d'établissement qui lui a permis, durant près de dix ans, de travailler dans le gros œuvre et de percevoir les salaires fixés par la convention collective de travail. Au vu des activités simples du niveau de compétence 1, fondant dans le cas d'espèce le revenu avec invalidité, on ne peut affirmer que ses perspectives de gain sont moindres que celles d'un travailleur ayant la nationalité suisse (en ce sens, voir notamment arrêt du Tribunal fédéral 8C_454/2023 du 19 décembre 2023 consid. 5.4 et les références). S'agissant enfin du salaire sans invalidité, il appert que celui retenu en 2020 lors de la première décision était plus élevé car il avait été établi sur la base du revenu perçu en 2016 au lieu de l'année 2017, précédant pourtant l'atteinte à la santé. L'inflation entre 2016 et le moment alors déterminant pour l'éventuelle naissance du droit à la rente était en outre plus forte. Dans la mesure où le revenu pris en considération par l'intimé dans sa nouvelle décision du 30 mai 2023 correspond au salaire effectivement perçu par le recourant en 2017 selon l'extrait de son compte individuel, soit CHF 65'537.-, celui-ci n'est pas critiquable.</w:t>
      </w:r>
    </w:p>
    <w:p>
      <w:r>
        <w:rPr>
          <w:b/>
        </w:rPr>
        <w:t>E. 5.8</w:t>
      </w:r>
    </w:p>
    <w:p>
      <w:r>
        <w:t>Le recourant ne se prévaut par ailleurs pas d'autres éléments erronés dans le calcul de l'invalidité. Même à corriger d'office certaines données, le résultat de la comparaison des revenus aboutit toujours à un degré d'invalidité inférieur à 40%, ne lui permettant pas d'obtenir une rente d'invalidité. En tenant en effet compte de l'indexation du revenu sans invalidité entre 2017 et 2021, année ici déterminante de l'ouverture potentielle du droit à la rente, celui-ci se monterait à CHF 66'913.-. Quant au revenu avec invalidité fondé sur les statistiques, sachant qu'il convient de se référer à la version de l'ESS publiée au moment déterminant de la décision querellée, soit en l'occurrence aux données 2020 publiées en août 2022, il se monte à CHF 5'261.- par mois pour un homme et un niveau de compétence 1, toutes professions confondues. Après adaptation à l'horaire habituel de travail et prise en compte de la variation de l'indice des salaires nominaux, il en résulte un revenu annuel de CHF 65'701.-, respectivement de CHF 59'131.- au vu du taux d'activité pouvant être réalisé par le recourant (100% avec une baisse de rendement de 10%). La comparaison des revenus aboutit ainsi à une invalidité de 11.63%, arrondie à 12%, insuffisante pour prétendre à une rente d'invalidité.</w:t>
      </w:r>
    </w:p>
    <w:p>
      <w:r>
        <w:rPr>
          <w:b/>
        </w:rPr>
        <w:t>E. 6.1</w:t>
      </w:r>
    </w:p>
    <w:p>
      <w:r>
        <w:t>Le recourant fait encore valoir qu'aucune activité professionnelle ne lui serait accessible dans le marché ordinaire de l'emploi.</w:t>
      </w:r>
    </w:p>
    <w:p>
      <w:r>
        <w:rPr>
          <w:b/>
        </w:rPr>
        <w:t>E. 6.2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 cf .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 cf . art. 7 et 8 LPGA) – et non de facteurs psychosociaux ou socioculturels qui sont étrangers à la définition juridique de l’invalidité ( cf .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il n'est de loin pas irréaliste d'escompter l'existence d'une activité permettant l'alternance des positions et prohibant le port de charges, l'utilisation répétitive et les mouvements au-dessus de l'horizontale du bras, les déplacements sur des longues distances, ainsi que les travaux en porte-à-faux (arrêt du Tribunal fédéral 9C_70/2010 du 9 août 2010 consid. 5.3). En cas d’absence de désignation des activités compatibles avec les limitations du recourant, le Tribunal fédéral a par ailleurs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à ses limitations et accessibles sans aucune formation particulière (arrêt du Tribunal fédéral 9C_279/2008 du 16 décembre 2008 consid. 4).</w:t>
      </w:r>
    </w:p>
    <w:p>
      <w:r>
        <w:rPr>
          <w:b/>
        </w:rPr>
        <w:t>E. 6.3</w:t>
      </w:r>
    </w:p>
    <w:p>
      <w:r>
        <w:t>En l'espèce, les limitations fonctionnelles retenues de manière convaincante dans l'expertise du 3 mars 2023 proscrivent les activités physiques, mais sont compatibles avec les activités sédentaires permettant l'alternance des positions. Il faut convenir que de telles limitations ne rendent pas illusoires les perspectives de gain du recourant sur un marché équilibré du travail, qui contient, d'après la jurisprudence fédérale, un nombre significatif d'activités simples de vérification ou de contrôle permettant l'alternance des positions ( cf . entre autres, arrêts du Tribunal fédéral 9C_279/2008 du 16 décembre 2008 consid. 4, 9C_707/2008 du 7 août 2009 consid. 3, 9C_70/2010 du 9 août 2010 consid. 5.3, 9C_323/2024 du 25 novembre 2024 consid. 4.2). Le grief doit donc être rejeté.</w:t>
      </w:r>
    </w:p>
    <w:p>
      <w:r>
        <w:rPr>
          <w:b/>
        </w:rPr>
        <w:t>E. 7.1</w:t>
      </w:r>
    </w:p>
    <w:p>
      <w:r>
        <w:t>En dernier lieu, le recourant se prévaut de ce qu'il aurait le droit à des mesures d'ordre professionnel compte tenu de son invalidité et du fait qu'il ne peut plus exercer sa profession de maçon.</w:t>
      </w:r>
    </w:p>
    <w:p>
      <w:r>
        <w:rPr>
          <w:b/>
        </w:rPr>
        <w:t>E. 7.2</w:t>
      </w:r>
    </w:p>
    <w:p>
      <w:r>
        <w:t>L’art. 15 LAI dispose que l’assuré auquel son invalidité rend difficile le choix d’une profession, ou l’exercice de son activité antérieure, a droit à l’orientation professionnelle. L'objectif de cette mesure est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 limitées dans le choix professionnel en raison de leur invalidité et ayant par conséquent besoin d'une orientation professionnelle spécialisée (Office fédéral des assurances sociales, Circulaire sur les mesures de réadaptation professionnelle de l'AI [CMRPr], valable dès le 1 er janvier 2022, état au 1 er janvier 2025, ch. 10.1).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Selon l'art. 17 al. 1 LAI, l'assuré a droit au reclassement dans une nouvelle profession si son invalidité rend cette mesure nécessaire et que sa capacité de gain peut ainsi, selon toute vraisemblance, être maintenue ou améliorée. D'après la jurisprudence, une telle mesure ne peut être accordée que si le degré d'invalidité dépasse le seuil de 20% environ (ATF 139 V 399 consid. 5.3 et la référence). Selon l’art. 18 LAI, l’assuré en incapacité de travail (art. 6 LPGA) et susceptible d’être réadapté a droit à un soutien pour rechercher un emploi approprié ou, s’il en a déjà un, pour le conserver (al. 1). L’assurance peut accorder à l’assuré un placement à l’essai de 180 jours au plus afin de vérifier qu’il possède les capacités nécessaires pour intégrer le marché de l’emploi (art. 18a al. 1 LAI).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I 421/01 du 15 juillet 2002 consid. 2c, in VSI 2003 p. 74). C’est le lieu de rappeler par ailleurs que le droit à une mesure de réadaptation présuppose qu'elle soit appropriée au but de la réadaptation poursuivi par l'assurance-invalidité, tant objectivement – en ce qui concerne la mesure – que sur le plan subjectif –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w:t>
      </w:r>
    </w:p>
    <w:p>
      <w:r>
        <w:rPr>
          <w:b/>
        </w:rPr>
        <w:t>E. 7.3</w:t>
      </w:r>
    </w:p>
    <w:p>
      <w:r>
        <w:t>En l'occurrence, seule une mesure d'orientation professionnelle pourrait éventuellement entrer en considération, compte tenu du degré d'invalidité du recourant largement inférieur à 20% ne lui permettant pas de requérir un reclassement et au vu de la nature de ses limitations fonctionnelles, proscrivant une activité physique, mais ne l'entravant pas spécifiquement dans la recherche d'un emploi. Cela étant, à supposer que l'invalidité du recourant l'empêche réellement de choisir une profession adaptée et que les conditions spécifiques de l'art. 15 LAI soient remplies, il apparaît aussi qu'il ne dispose pas de la motivation nécessaire à suivre une telle mesure. Il ressort en effet des éléments du dossier que le recourant a exprimé de façon constante un fort scepticisme face à une reprise professionnelle, étant centré sur sa douleur et ses difficultés, et sollicitant l'octroi d'une rente. Cela a notamment été relevé dans le rapport d'intervention précoce de la division réadaptation professionnelle du 22 mai 2019 ou, plus récemment, dans les entretiens d'expertise, le recourant mentionnant aux experts qu'il ne pourra pas retravailler au vu de son état de santé et qu'il demande une rente. Les diverses observations formulées par le recourant dans le cadre des procédures d'audition démontrent elles aussi qu'il est centré sur la douleur et s'estime totalement incapable de retravailler. Dans ces circonstances, le refus de mesures d'ordre professionnel ne peut qu'être confirmé.</w:t>
      </w:r>
    </w:p>
    <w:p>
      <w:r>
        <w:rPr>
          <w:b/>
        </w:rPr>
        <w:t>E. 8</w:t>
      </w:r>
    </w:p>
    <w:p>
      <w:r>
        <w:t>Au vu de ce qui précède, le recours est rejeté. Il convient de renoncer à la perception d'un émolument, le recourant étant au bénéfice de l'assistance juridique (art. 69 al. 1 bis LAI et 13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