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A/2163/2003 vom 24. August 2004</w:t>
      </w:r>
    </w:p>
    <w:p>
      <w:r>
        <w:t>GE Cour de justice, 2004-08-24, FR</w:t>
      </w:r>
    </w:p>
    <w:p>
      <w:r>
        <w:rPr>
          <w:b/>
        </w:rPr>
        <w:t xml:space="preserve">Quelle: </w:t>
      </w:r>
      <w:r>
        <w:t>https://mcp.opencaselaw.ch/entscheid/ge_gerichte_A_2163_2003</w:t>
      </w:r>
    </w:p>
    <w:p>
      <w:r>
        <w:t>FR: GE_GERICHTE A/2163/2003 du 24 août 2004</w:t>
      </w:r>
    </w:p>
    <w:p>
      <w:r>
        <w:t>IT: GE_GERICHTE A/2163/2003 del 24 agosto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24.08.2004 A/2163/2003</w:t>
      </w:r>
    </w:p>
    <w:p>
      <w:r>
        <w:t>A/2163/2003 ATAS/645/2004 du 24.08.2004 ( AI ) , RETIRE RÉPUBLIQUE ET CANTON DE GENÈVE POUVOIR JUDICIAIRE A/2163/03/2/AI ATAS/645/2004 ARRÊT DU TRIBUNAL CANTONAL DES ASSURANCES SOCIALES du 24 août 2004 2ème Chambre En la cause Monsieur S__________, mais comparant avec élection de domicile par Me Marco ZIEGLER, avocat Recourant contre OFFICE CANTONAL DE L’ASSURANCE-INVALIDITE (OCAI), 97, rue de Lyon à Genève Intimé Vu la procédure, les pièces et les conclusions des parties, Vu le courrier du Tribunal du 1 er juillet 2004 informant le recourant d'une reformatio in pejus, Vu le courrier du 30 juillet 2004 du recourant, par lequel celui-ci retire le recours déposé le 10 novembre 2003. PAR CES MOTIFS, LE TRIBUNAL CANTONAL DES ASSURANCES SOCIALES Statuant (conformément à la disposition transitoire de l’art. 162 LOJ) Donne acte à Monsieur S__________ de ce qu'il retire son recours du 10 novembre 2003 contre la décision de l’OCAI du 9 octobre 2003 . Raye la cause du rôle. Dit que la procédure est gratuite. Le greffier : La Présidente : Pierre Ries Isabelle Dubois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