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A/2160/2004 vom 7. April 2005</w:t>
      </w:r>
    </w:p>
    <w:p>
      <w:r>
        <w:t>GE Cour de justice, 2005-04-07, FR</w:t>
      </w:r>
    </w:p>
    <w:p>
      <w:r>
        <w:rPr>
          <w:b/>
        </w:rPr>
        <w:t xml:space="preserve">Quelle: </w:t>
      </w:r>
      <w:r>
        <w:t>https://mcp.opencaselaw.ch/entscheid/ge_gerichte_A_2160_2004</w:t>
      </w:r>
    </w:p>
    <w:p>
      <w:r>
        <w:t>FR: GE_GERICHTE A/2160/2004 du 7 avril 2005</w:t>
      </w:r>
    </w:p>
    <w:p>
      <w:r>
        <w:t>IT: GE_GERICHTE A/2160/2004 del 7 aprile 2005</w:t>
      </w:r>
    </w:p>
    <w:p>
      <w:pPr>
        <w:pStyle w:val="Heading2"/>
      </w:pPr>
      <w:r>
        <w:t>Erwägungen</w:t>
      </w:r>
    </w:p>
    <w:p>
      <w:r>
        <w:rPr>
          <w:b/>
        </w:rPr>
        <w:t>E. 1</w:t>
      </w:r>
    </w:p>
    <w:p>
      <w:r>
        <w:t>La loi genevoise sur l’organisation judiciaire (LOJ) a été modifiée et a institué, dès le 1 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w:t>
      </w:r>
    </w:p>
    <w:p>
      <w:r>
        <w:rPr>
          <w:b/>
        </w:rPr>
        <w:t>E. 2</w:t>
      </w:r>
    </w:p>
    <w:p>
      <w:r>
        <w:t>Conformément à l’art. 56V al. 1 let. b LOJ, le Tribunal cantonal des assurances sociales connaît en instance unique des contestations relatives à la prévoyance professionnelle opposant institutions de prévoyance, employeurs et ayants droit, y compris en cas de divorce, ainsi que des prétentions en responsabilité. Sa compétence pour juger du cas d’espèce est ainsi établie.</w:t>
      </w:r>
    </w:p>
    <w:p>
      <w:r>
        <w:rPr>
          <w:b/>
        </w:rPr>
        <w:t>E. 3</w:t>
      </w:r>
    </w:p>
    <w:p>
      <w:r>
        <w:t>La loi fédérale sur la prévoyance professionnelle, vieillesse, survivants et invalidité du 25 juin 1982 (LPP) institue une régime d’assurance obligatoire des salariés (art. 2 al. 1 LPP). Selon l’art. 11 al. 1 LPP, tout employeur occupant des salariés soumis à l’assurance obligatoire doit être affilié à une institution de prévoyance inscrite dans le registre de la prévoyance professionnelle.</w:t>
      </w:r>
    </w:p>
    <w:p>
      <w:r>
        <w:rPr>
          <w:b/>
        </w:rPr>
        <w:t>E. 4</w:t>
      </w:r>
    </w:p>
    <w:p>
      <w:r>
        <w:t>L’art. 3 al. 1 de l’ordonnance sur les droits de l’institution supplétive en matière de prévoyance professionnelle (ci-après l’ordonnance ; RS 831.434) prévoit encore que l’employeur doit verser à l’institution supplétive les cotisations dues pour l’ensemble des salariés soumis à la loi, avec effet au moment où il aurait dû être affilié à une institution de prévoyance. Le taux de l’intérêt moratoire correspond à celui qu’applique habituellement l’institution supplétive en cas de retard dans le paiement des cotisations (art. 3 al. 2 de l’ordonnance).</w:t>
      </w:r>
    </w:p>
    <w:p>
      <w:r>
        <w:rPr>
          <w:b/>
        </w:rPr>
        <w:t>E. 5</w:t>
      </w:r>
    </w:p>
    <w:p>
      <w:r>
        <w:t>Aux termes de l’art. 73 al. 1 LPP, chaque canton désigne un tribunal qui connaît, en dernière instance cantonale, des contestations opposant institutions de prévoyance, employeurs et ayants droits. La LPP n’a pas institué de procédure d’opposition préalable au recours au tribunal. La jurisprudence a précisé en outre que ni les institutions de prévoyance ni l’institution supplétive ne peuvent annuler l’opposition à une poursuite en recouvrement de cotisations dues par l’employeur par une décision assimilable à un jugement (ATF 115 III 95 ; JdT 1991 2 149). Le Tribunal de céans peut ainsi connaître directement de l’opposition faite par le débiteur au commandement de payer. Les décisions des autorités administratives fédérales portant condamnation à payer une somme d’argent sont exécutées par la voie de la poursuite pour dette et sont, une fois passées en force, assimilées à des jugements exécutoires au sens de l’art. 80 al. 2 ch. 2 de la loi fédérale sur la poursuite pour dette et la faillite du 11 avril 1889 (LP ; RS 281.1 ; P.-R. GILLIERON, Commentaires de la LP, 1999, p. 1226, ch. 45). Il en est de même des décisions passées en force des autorités administratives cantonales de dernière instance qui statuent, dans l’accomplissement de tâches de droit public à elles conférées par la Confédération, en application du droit fédéral, mais qui ne statue pas définitivement en vertu du droit fédéral – autrement dit, dont les décisions sont susceptibles d’un recours administratif auprès d’une autorité fédérale ou d’un recours de droit administratif (GILLIERON, op. cit., p. 1227 ; C. JAEGER, Bundesgesetzt über Schuldbetreibung und Konkurs, 1999, p. 621). Par autorité administrative fédérale – et par extension autorité administrative cantonale de dernière instance - , il faut entendre les tribunaux fédéraux et les autres autorités ou organisations indépendantes de l’administration fédérale en tant qu’elles statuent dans l’accomplissement de tâches de droit public à elles confiées par la Confédération (art. 1 al. 2 let. b et let. e de la loi fédérale sur la procédure administrative du 20 décembre 1968 [P1 ; RS 172 021]). Le Tribunal cantonal des assurances sociales statuant en dernière instance cantonale et dans l’accomplissement de tâches de droit public peut, selon ce qui précède, prononcer la mainlevée définitive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dès lors qualité pour lever une opposition à la poursuite en statuant sur le fond (ATF 109 V 51).</w:t>
      </w:r>
    </w:p>
    <w:p>
      <w:r>
        <w:rPr>
          <w:b/>
        </w:rPr>
        <w:t>E. 6</w:t>
      </w:r>
    </w:p>
    <w:p>
      <w:r>
        <w:t>En l’espèce, il convient d’admettre que les décomptes de la Fondation sont exacts. En effet, il ressort de l’ensemble des pièces produites par la demanderesse que la défenderesse est restée débitrice du montant qui lui est réclamé. En ce qui concerne les frais de poursuite, ils sont d’office supportés par le débiteur lorsque la poursuite aboutit (JdT 1974 III 32). Les intérêts et frais dus par le défendeur sont par ailleurs prévus à l’art. 3 al. 2 de l’ordonnance sur les droits de l’institution supplétive en matière de prévoyance professionnelle précitée et à l’art. 7 ch. 3, 4 et 6 des conditions d’affiliation remises à l’employeur lors de la décision d’affiliation. Pour tous ces motifs, il y a lieu d’admettre la demande et de prononcer la mainlevée définitive de l’opposition au commandement de payer.</w:t>
      </w:r>
    </w:p>
    <w:p>
      <w:r>
        <w:rPr>
          <w:b/>
        </w:rPr>
        <w:t>E. 7</w:t>
      </w:r>
    </w:p>
    <w:p>
      <w:r>
        <w:t>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a priori pas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(LAVS ; RS 831.10 ; actuellement art. 61 let. a de la loi fédérale sur la partie générale des assurances sociales [LPGA – RS 830.1] en vigueur depuis le 1er janvier 2003) et, d’autre part, le droit aux dépens selon l’art. 85 al. 2 let. f 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 partie adverse procède avec légèreté ou de manière téméraire. En l’absence d’une telle représentation, les autres conditions pour l’octroi de dépens à une partie non représentée doivent être données, en sus de celles liées à la témérité ou à la légèreté (ATF 128 V 323 ). Selon l’arrêt publié in 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 une grande quantité de travail qui dépasse le cadre de ce que l’on peut normalement ou raisonnablement exiger de quelqu’un pour s’occuper de ses affaires personnelles ; il faut donc une masse de travail qui gêne de manière importante une 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w:t>
      </w:r>
    </w:p>
    <w:p>
      <w:r>
        <w:rPr>
          <w:b/>
        </w:rPr>
        <w:t>E. 8</w:t>
      </w:r>
    </w:p>
    <w:p>
      <w:r>
        <w:t>En l’espèce, le Tribunal estime qu s’il n’y a pas lieu de condamner la défenderesse au paiement d’un émolument. Par ailleurs, le Tribunal constate que la Fondation a agi sans mandataire pour faire valoir sa créance. En l’occurrence, il ne s’agit au surplus pas d’une affaire complexe au niveau des faits ou du droit et le travail requis n’a pas dépassé le cadre de ce qui est normalement nécessaire dans un cas du même genre. Dans ces conditions, il ne sera octroyé aucune indemnité de dépens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