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A/2154/2009 vom 17. September 2009</w:t>
      </w:r>
    </w:p>
    <w:p>
      <w:r>
        <w:t>GE Cour de justice, 2009-09-17, FR</w:t>
      </w:r>
    </w:p>
    <w:p>
      <w:r>
        <w:rPr>
          <w:b/>
        </w:rPr>
        <w:t xml:space="preserve">Quelle: </w:t>
      </w:r>
      <w:r>
        <w:t>https://mcp.opencaselaw.ch/entscheid/ge_gerichte_A_2154_2009</w:t>
      </w:r>
    </w:p>
    <w:p>
      <w:r>
        <w:t>FR: GE_GERICHTE A/2154/2009 du 17 septembre 2009</w:t>
      </w:r>
    </w:p>
    <w:p>
      <w:r>
        <w:t>IT: GE_GERICHTE A/2154/2009 del 17 settembre 2009</w:t>
      </w:r>
    </w:p>
    <w:p>
      <w:pPr>
        <w:pStyle w:val="Heading2"/>
      </w:pPr>
      <w:r>
        <w:t>Regeste</w:t>
      </w:r>
    </w:p>
    <w:p>
      <w:r>
        <w:t>Minimum vital. Frais de garde. Investigations. | L'Office des poursuites a procédé aux investigations demandées par le plaignant. L'Office des poursuites n'a pas tenu compte des frais de garde dans le calcul du minimum vital, ceux-ci étant couverts par la contribution d'entretien. | LP.89 ; 91.1 ; 93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Elle doit donc être rejetée, dans la mesure où elle a conservé un objet. * * * * * PAR CES MOTIFS, LA COMMISSION DE SURVEILLANCE SIÉGEANT EN SECTION : A la forme : Déclare recevable la plainte formée le 19 juin 2009 par Me D______ contre le procès-verbal de saisie, série n° 08 xxxx08 G. Au fond : 1. La rejette dans la mesure de son objet. 2. Déboute les parties de toutes autres conclusions. Siégeant : Mme Ariane WEYENETH, présidente ; Mme Florence CASTELLA et M. Didier BROSSET, juges assesseur(e)s. Au nom de la Commission de surveillance : Véronique PISCETTA Ariane WEYENETH Greffière : Présidente : La présente décision est communiquée par courrier A à l’Office concerné et par courrier recommandé aux autres parties par la greffière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