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A/2146/2003 vom 25. Februar 2004</w:t>
      </w:r>
    </w:p>
    <w:p>
      <w:r>
        <w:t>GE Cour de justice, 2004-02-25, FR</w:t>
      </w:r>
    </w:p>
    <w:p>
      <w:r>
        <w:rPr>
          <w:b/>
        </w:rPr>
        <w:t xml:space="preserve">Quelle: </w:t>
      </w:r>
      <w:r>
        <w:t>https://mcp.opencaselaw.ch/entscheid/ge_gerichte_A_2146_2003</w:t>
      </w:r>
    </w:p>
    <w:p>
      <w:r>
        <w:t>FR: GE_GERICHTE A/2146/2003 du 25 février 2004</w:t>
      </w:r>
    </w:p>
    <w:p>
      <w:r>
        <w:t>IT: GE_GERICHTE A/2146/2003 del 25 febbraio 2004</w:t>
      </w:r>
    </w:p>
    <w:p>
      <w:pPr>
        <w:pStyle w:val="Heading2"/>
      </w:pPr>
      <w:r>
        <w:t>Volltext</w:t>
      </w:r>
    </w:p>
    <w:p>
      <w:r>
        <w:t>Genève Cour de justice (Cour de droit public) Chambre des assurances sociales 25.02.2004 A/2146/2003</w:t>
      </w:r>
    </w:p>
    <w:p>
      <w:r>
        <w:t>A/2146/2003 ATAS/79/2004 du 25.02.2004 ( LAA ) RÉPUBLIQUE ET CANTON DE GENÈVE POUVOIR JUDICIAIRE A/2146/2003 ATAS/79/2004 ORDONNANCE DE SUSPENSION DU TRIBUNAL CANTONAL DES ASSURANCES SOCIALES 5 ème chambre du 25 février 2004 En la cause X__________ SA , comparant par Maître Christian GROSJEAN en l’étude duquel elle élit domicile. recourant e contre SUVA, CAISSE NATIONALE SUISSE D’ASSURANCE EN CAS D’ACCIDENTS , Fluhmattstrasse 1, Postfach 4358, 6200 LUCERNE intimé e Vu le recours du 6 novembre 2003 de l’X__________ SA contre la décision sur opposition du 27 octobre 2003 de la SUVA ; Vu la réplique de celle-ci du 12 janvier 2004 ; Vu la demande de suspension des parties du 6 février 2004 ; Attendu qu’aux termes de l’art. 78 let. a) de la loi sur la procédure administrative (LPA), l’instruction du recours est suspendue par la requête simultanée de toutes les parties ; Qu’il y a par conséquent lieu de faire droit à la demande de suspension des parties dans le présent dossier. PAR CES MOTIFS, LE TRIBUNAL CANTONAL DES ASSURANCES SOCIALES : Ordonne la suspension de l’instruction du recours formé par l’X__________ SA contre la décision sur opposition de la SUVA du 27 octobre 2003 ; Invite la partie la plus diligente à reprendre l’instruction par déclaration écrite ;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