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A/2143/2016 vom 13. Oktober 2016</w:t>
      </w:r>
    </w:p>
    <w:p>
      <w:r>
        <w:t>GE Cour de justice, 2016-10-13, FR</w:t>
      </w:r>
    </w:p>
    <w:p>
      <w:r>
        <w:rPr>
          <w:b/>
        </w:rPr>
        <w:t xml:space="preserve">Quelle: </w:t>
      </w:r>
      <w:r>
        <w:t>https://mcp.opencaselaw.ch/entscheid/ge_gerichte_A_2143_2016</w:t>
      </w:r>
    </w:p>
    <w:p>
      <w:r>
        <w:t>FR: GE_GERICHTE A/2143/2016 du 13 octobre 2016</w:t>
      </w:r>
    </w:p>
    <w:p>
      <w:r>
        <w:t>IT: GE_GERICHTE A/2143/2016 del 13 ottobre 2016</w:t>
      </w:r>
    </w:p>
    <w:p>
      <w:pPr>
        <w:pStyle w:val="Heading2"/>
      </w:pPr>
      <w:r>
        <w:t>Erwägungen</w:t>
      </w:r>
    </w:p>
    <w:p>
      <w:r>
        <w:rPr>
          <w:b/>
        </w:rPr>
        <w:t>E. 3</w:t>
      </w:r>
    </w:p>
    <w:p>
      <w:r>
        <w:t>ème Chambre En la cause Monsieur A______, domicilié au PORTUGAL Madame B______, domiciliée à VERSOIX, comparant avec élection de domicile en l'étude de Maître MEYER Daniel demandeurs EN FAIT 1.        En mai 2007, Madame B______ C______, née le _____ 1956, a saisi le Tribunal de première instance d’une demande unilatérale en divorce envers Monsieur A______, né le ______ 1954, qu’elle avait épousé en date du 22 janvier 1977. ![endif]&gt;![if&gt; 2.        Avant que l’instance genevoise n’ait pris fin, le Tribunal de Pombal (Portugal) a prononcé le divorce par jugement du 11 février 2013. ![endif]&gt;![if&gt; 3.        Par jugement du 12 avril 2016, la 21 ème chambre du Tribunal de première instance a reconnu le jugement de divorce du 11 février 2013 et a ordonné le partage par moitié des avoirs acquis par chacun des époux durant le mariage.![endif]&gt;![if&gt; 4.        Ce jugement, devenu définitif le 2 juin 2016, a été transmis d'office à la chambre de céans pour exécution du partage.![endif]&gt;![if&gt; 5.        La chambre de céans a sollicité des parties le nom de leur institution de prévoyance, puis des dites institutions de lui communiquer les montants des avoirs LPP acquis par les intéressés durant le mariage.![endif]&gt;![if&gt; 6.        S'agissant du demandeur - dont il convient de relever qu'il n'avait pas encore atteint l'âge de cotiser au deuxième pilier (25 ans) au moment du mariage -, il est apparu, après consultation du rassemblement de ses comptes individuels : ![endif]&gt;![if&gt; - que de 1980 à 1988, il a travaillé dans un hôtel-restaurant et été affilié à la caisse de pension GASTROSOCIAL, auprès de laquelle il a accumulé un avoir qui s’élevait, en date du 2 juin 2016, à CHF 14'694.90 (cf. courrier de la caisse de pension du 30 août 2016) ; - que de 1988 à fin 2012, il a été employé par le COMITE D______ et affilié à la caisse de pension du CICR, auprès de laquelle il a accumulé un avoir qui s’élevait, en date du 1er janvier 2013, à CHF 761’936.15 ; - que le demandeur avait pris sa retraite en date du 1er janvier 2013, date à compter de laquelle le transfert d’une partie de la prestation n’était donc plus réalisable (cf. courrier du 20 septembre 2016). 7.        Quant à la demanderesse - dont il convient de relever qu'elle n'avait pas non plus atteint l'âge de cotiser au deuxième pilier (25 ans) au moment du mariage -, il s'est avéré, après consultation du rassemblement de ses comptes individuels : ![endif]&gt;![if&gt; - qu'elle n’a commencé à réaliser un revenu suffisant pour être soumis à cotisation qu’en 1984 ; qu’elle travaillait alors - et jusqu’en 1987 - pour l’hôtel E______ et était affiliée à SWISSLIFE, qui a transféré son avoir sur une police de libre passage (45DB93 ; cf. courrier du 26 août 2016) ; qu’il s’élevait, en date du 2 juin 2016, à CHF 14'973.90 ; - qu’elle a ensuite, après une période de chômage, travaillé pour Madame F______, sans que puisse être retrouvée trace d’un éventuel avoir accumulé durant cette période (cf. courrier de Mme F______ du 3 octobre 2016) ; - que depuis 1990, elle est employée par la FONDATION G______ et affiliée auprès de la fondation PREVEMSS, auprès de laquelle elle a accumulé un avoir qui s’élevait, en date du 2 juin 2016, à CHF 181'258.15 (cf. courrier de la fondation du 1er septembre 2016). 8.        Les documents recueillis au cours de l’instruction ont été transmis aux parties.![endif]&gt;![if&gt;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En l’espèce, le juge de première instance a ordonné le partage par moitié des prestations de sortie acquises durant le mariage par les demandeurs. Les dates pertinentes sont, d’une part, le 22 janvier 1977, date du mariage, d’autre part le 11 février 2013, date à laquelle le divorce a été prononcé.![endif]&gt;![if&gt; Cependant, le demandeur étant bénéficiaire de prestations de sa caisse de pension depuis le 1 er janvier 2013, soit antérieurement au divorce, la question se pose de savoir si le partage ordonné peut être exécuté. 3.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![endif]&gt;![if&gt;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4.        En l’espèce, force est de constater que le demandeur est à la retraite et bénéficie de la rente y relative depuis le 1 er janvier 2013, c'est-à-dire antérieurement à l'entrée en force du jugement de divorce, ce qui rend impossible le partage des avoirs de prévoyance (cf. ATAS 515/2007 du 15 mai 2007). ![endif]&gt;![if&gt; Les parties sont, par conséquent, invitées à saisir le juge du divorce d'une demande d'indemnité équitable. Aucun émolument ne sera perçu, la procédure étant gratuite (art. 73 al. 2 LPP et 89H al. 1 de la loi sur la procédure administrative du 12 septembre 1985).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