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A/2142/2023 vom 8. Oktober 2024</w:t>
      </w:r>
    </w:p>
    <w:p>
      <w:r>
        <w:t>GE Cour de justice, 2024-10-08, FR</w:t>
      </w:r>
    </w:p>
    <w:p>
      <w:r>
        <w:rPr>
          <w:b/>
        </w:rPr>
        <w:t xml:space="preserve">Quelle: </w:t>
      </w:r>
      <w:r>
        <w:t>https://mcp.opencaselaw.ch/entscheid/ge_gerichte_A_2142_2023</w:t>
      </w:r>
    </w:p>
    <w:p>
      <w:r>
        <w:t>FR: GE_GERICHTE A/2142/2023 du 8 octobre 2024</w:t>
      </w:r>
    </w:p>
    <w:p>
      <w:r>
        <w:t>IT: GE_GERICHTE A/2142/2023 del 8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1 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Le droit aux prestations du recourant, soit son éventuel droit à une rente fondée sur sa demande du 22 juin 2020, doit s’examiner conformément aux règles applicables jusqu’au 31 décembre 2021, soit sous l’angle de l’ancien droit.</w:t>
      </w:r>
    </w:p>
    <w:p>
      <w:r>
        <w:rPr>
          <w:b/>
        </w:rPr>
        <w:t>E. 3</w:t>
      </w:r>
    </w:p>
    <w:p>
      <w:r>
        <w:t>A titre liminaire, il convient de circonscrire l’objet du litige.</w:t>
      </w:r>
    </w:p>
    <w:p>
      <w:r>
        <w:rPr>
          <w:b/>
        </w:rPr>
        <w:t>E. 3.1</w:t>
      </w:r>
    </w:p>
    <w:p>
      <w:r>
        <w:t>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 cf. ATF 99 V 98 consid. 4 et les arrêts cités; arrêt du Tribunal fédéral 9C_259/2018 du 25 juillet 2018 consid. 4.2).</w:t>
      </w:r>
    </w:p>
    <w:p>
      <w:r>
        <w:rPr>
          <w:b/>
        </w:rPr>
        <w:t>E. 3.2</w:t>
      </w:r>
    </w:p>
    <w:p>
      <w:r>
        <w:t>En l’espèce, la décision querellée a été rendue le 26 mai 2023. C’est donc l’état de santé du recourant et ses répercussions sur sa capacité de travail à cette date qu’il convient d’examiner. Dans cette mesure les pièces médicales produites au cours de la présente procédure, lesquelles portent sur des atteintes nouvelles, ne sauraient être prises en considération. Le litige porte ainsi sur le bien-fondé de la décision de l’OAI datée du 26 mai 2023 de rejeter la nouvelle demande de prestations du recourant, singulièrement sur sa capacité de travail et son droit à des mesures d’ordre professionnel, notamment à un reclassement.</w:t>
      </w:r>
    </w:p>
    <w:p>
      <w:r>
        <w:rPr>
          <w:b/>
        </w:rPr>
        <w:t>E. 4.1</w:t>
      </w:r>
    </w:p>
    <w:p>
      <w:r>
        <w:t>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w:t>
      </w:r>
    </w:p>
    <w:p>
      <w:r>
        <w:rPr>
          <w:b/>
        </w:rPr>
        <w:t>E. 4.2</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5.2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5.3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w:t>
      </w:r>
    </w:p>
    <w:p>
      <w:r>
        <w:rPr>
          <w:b/>
        </w:rPr>
        <w:t>E. 5.4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6.2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7.1</w:t>
      </w:r>
    </w:p>
    <w:p>
      <w:r>
        <w:t>En l’espèce, le 9 septembre 2018, le recourant a saisi l’intimé d’une demande de prestations en raison d’une atteinte au pied et au coude gauches survenue le 26 septembre 2017. Après avoir mis en œuvre des mesures d’intervention précoce et une orientation professionnelle, l’OAI a rejeté la demande par décision du 14 janvier 2020, la perte de gain étant nulle. Le 22 juin 2020, sous la plume de son médecin traitant, le recourant a saisi l’intimé d’une nouvelle demande de prestations, une atteinte à l’épaule gauche s’étant ajoutée aux précédentes atteintes. L’office intimé est entré en matière sur cette nouvelle demande en ordonnant une expertise pluridisciplinaire qu’il a confiée au I______. Selon le rapport de ce dernier, daté du 16 juin 2022, la capacité de travail du recourant était toujours entière dans toute activité respectant un certain nombre de limitations fonctionnelles en lien avec les atteintes au pied et à l’épaule gauches. Par ailleurs, même si le recourant souffrait de troubles dépressifs et anxieux, ceux-ci n’étaient pas incapacitants. L’intimé a mis en œuvre une mesure d’orientation professionnelle à la demande du conseil du recourant, à laquelle l’intimé a mis un terme compte tenu de deux incidents imputables au recourant. Par décision du 26 mai 2023, l’OAI a rejeté la nouvelle demande au vu des conclusions de l’expertise et compte tenu du fait qu’il existait suffisamment d’activités simples et répétitives sur le marché primaire de l’emploi, respectant les limitations fonctionnelles du recourant, que ce dernier pouvait exercer sans formation ni qualifications, compte tenu de son parcours professionnel, des gains réalisés, des limitations fonctionnelles et de la pleine capacité de travail dans une activité adaptée. À titre d’exemple, l’OAI a cité des activités dans un environnement bienveillant dans le domaine du tri, de la numérisation, du travail sur établi en position assise par exemple. Dans son recours du 27 juin 2023, l’assuré conteste, outre la comparaison des revenus effectuée par l’OAI, l’absence de réévaluation de son atteinte psychique au vu des événements qui se sont déroulés aux EPI et qui démontraient selon lui une décompensation psychiatrique.</w:t>
      </w:r>
    </w:p>
    <w:p>
      <w:r>
        <w:rPr>
          <w:b/>
        </w:rPr>
        <w:t>E. 7.2</w:t>
      </w:r>
    </w:p>
    <w:p>
      <w:r>
        <w:t>La chambre de céans constate que la décision de l’intimé se fonde en particulier sur l'expertise pluridisciplinaire du mois de juin 2022, l’avis du SMR du 11 septembre 2023 dans lequel était examiné l’avis du Dr N______ du 18 juillet 2023 et sur le rapport des EPI sur la mesure. L’expertise remplit les exigences d’une évaluation médicale complète et motivée. Elle a été réalisée par quatre experts aptes, de par leur spécialité, à se prononcer sur les atteintes à la santé présentées par le recourant et leurs éventuelles répercussions sur la capacité de travail de ce dernier. Cette expertise n’a d’ailleurs en tant que telle pas été contestée par le recourant, lequel n’a pas soulevé de griefs à l'encontre de l’évaluation psychiatrique au moment de l’expertise ou de l'examen des indicateurs jurisprudentiels. L’expertise doit dès lors se voir reconnaître une pleine valeur probante. Sur la base de l’expertise, l’atteinte psychique du recourant ne remplit pas les indicateurs mentionnés à l'ATF 141 V 281 précité et le trouble dépressif ne peut être considéré comme invalidant.</w:t>
      </w:r>
    </w:p>
    <w:p>
      <w:r>
        <w:rPr>
          <w:b/>
        </w:rPr>
        <w:t>E. 7.3</w:t>
      </w:r>
    </w:p>
    <w:p>
      <w:r>
        <w:t>Le recourant estime cependant qu’il a souffert d’une décompensation de son atteinte psychique postérieurement à l’expertise dans le cadre de la mesure. À cet égard, les éléments médicaux fournis par le recourant pour appuyer son avis ne permettent pas de constater l’existence d’une atteinte psychique incapacitante sur le long terme. En effet, le psychiatre traitant qui s’est prononcé sur les éléments postérieurs à l’expertise a évoqué un épisode dépressif moyen et a précisé que, d’un point de vue strictement psychiatrique, « les effets sur la capacité de travail de [son patient] étaient actuellement quelque peu altérés en relation avec un syndrome dépressif moyen et devraient pouvoir revenir à la normale (à 100%) une fois la dépression corrigée ». Le recourant a d’ailleurs entrepris un suivi psychiatrique sur conseil de l’intimé à la suite des événements survenus durant la mesure. Le SMR a pris en compte les avis exprimés par les médecins du recourant. Les avis médicaux sur le plan psychiatrique exprimés après l’expertise et l’incident survenu pendant la mesure de réadaptation ne mettent pas en évidence que l’atteinte psychique du recourant entraînerait une incapacité de travail de longue durée. Il s’agit d’une atteinte qui peut se guérir par le suivi entrepris. Il n’existe dès lors pas d’invalidité susceptible de donner droit à une rente. Il est par ailleurs exigible du recourant qu’il poursuive un traitement adéquat dans la mesure de son obligation de réduire son dommage. Au vu de ce qui précède, une instruction médicale complémentaire ne se justifie pas dans le cas d’espèce.</w:t>
      </w:r>
    </w:p>
    <w:p>
      <w:r>
        <w:rPr>
          <w:b/>
        </w:rPr>
        <w:t>E. 8</w:t>
      </w:r>
    </w:p>
    <w:p>
      <w:r>
        <w:t>Le recourant conteste en outre la comparaison des revenus effectuée par l’intimé.</w:t>
      </w:r>
    </w:p>
    <w:p>
      <w:r>
        <w:rPr>
          <w:b/>
        </w:rPr>
        <w:t>E. 8.1</w:t>
      </w:r>
    </w:p>
    <w:p>
      <w:r>
        <w:t>Sur ce point, l’intimé et le recourant s’accordent sur le revenu avant invalidité de CHF 56'420.- par an (CHF 4'340.- x 13). S’agissant du revenu d’invalide, l’intimé a retenu, dans sa première décision du 14 janvier 2020, un revenu de CHF 57'841.- par an en se fondant sur la table TA 1 pour un homme dans une activité de niveau 1, alors que le recourant estime pouvoir gagner au maximum pour une activité de type administratif ou de réception simple, un revenu mensuel brut de CHF 3'370.- selon l’ESS. Il évalue sa perte de revenu à 28.32%, ce qui lui donnerait droit à des mesures de réadaptation.</w:t>
      </w:r>
    </w:p>
    <w:p>
      <w:r>
        <w:rPr>
          <w:b/>
        </w:rPr>
        <w:t>E. 8.2</w:t>
      </w:r>
    </w:p>
    <w:p>
      <w:r>
        <w:t>Le revenu avec invalidité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notamment de l'Enquête suisse sur la structure des salaires (ci-après : ESS) (ATF 139 V 592 consid. 2.3). Il convient alors de se fonder, en règle générale, sur les salaires mensuels indiqués dans la table TA1 de l'ESS, à la ligne "total secteur privé" (ATF 124 V 321 consid. 3b), étant précisé que, depuis l'ESS 2012, il y a lieu d'appliquer le tableau TA1_skill_ level (ATF 142 V 178 ).</w:t>
      </w:r>
    </w:p>
    <w:p>
      <w:r>
        <w:rPr>
          <w:b/>
        </w:rPr>
        <w:t>E. 8.3</w:t>
      </w:r>
    </w:p>
    <w:p>
      <w:r>
        <w:t>Dans le cas d’espèce, le recourant semble se fonder sur une ligne en particulier de la table sans cependant mettre en évidence d’élément qui justifierait de s'écarter du salaire de référence auquel peuvent prétendre les hommes effectuant des tâches physiques ou manuelles simples, tous secteurs confondus, de la table TA1_tirage_skill_level de l'ESS. Par ailleurs le Tribunal fédéral a déjà eu l’occasion de rappeler qu’il existe sur le marché équilibré du travail pris en considération dans le domaine de l'assurance-invalidité (à ce sujet, voir arrêt du Tribunal fédéral 9C_659/2014 du 13 mars 2015 consid. 5.3 et les références) un éventail suffisamment large d'activités légères, dont on doit admettre dans ce cas qu'un nombre significatif d'entre elles sont accessibles au recourant sans aucune formation préalable particulière et compatibles avec ses limitations fonctionnelles. L’intimé avait en outre retenu un abattement de 15 %, sans que ce facteur ne permette de constater de perte de revenu. Compte tenu de ce qui précède, la reprise d'une activité professionnelle est exigible de la part du recourant et la comparaison des revenus ne laisse apparaître aucune perte de gain, de sorte que la décision de l'intimé doit être confirmée.</w:t>
      </w:r>
    </w:p>
    <w:p>
      <w:r>
        <w:rPr>
          <w:b/>
        </w:rPr>
        <w:t>E. 9</w:t>
      </w:r>
    </w:p>
    <w:p>
      <w:r>
        <w:t>Le recours sera rejeté. La procédure en matière d'assurance-invalidité n'étant pas gratuite (art. 69 al. 1bis LAI), un émolument de CHF 200.- est mis à la charge du recourant.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