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A/2139/2015 vom 10. Juni 2005</w:t>
      </w:r>
    </w:p>
    <w:p>
      <w:r>
        <w:t>GE Cour de justice, 2005-06-10, FR</w:t>
      </w:r>
    </w:p>
    <w:p>
      <w:r>
        <w:rPr>
          <w:b/>
        </w:rPr>
        <w:t xml:space="preserve">Quelle: </w:t>
      </w:r>
      <w:r>
        <w:t>https://mcp.opencaselaw.ch/entscheid/ge_gerichte_A_2139_2015</w:t>
      </w:r>
    </w:p>
    <w:p>
      <w:r>
        <w:t>FR: GE_GERICHTE A/2139/2015 du 10 juin 2005</w:t>
      </w:r>
    </w:p>
    <w:p>
      <w:r>
        <w:t>IT: GE_GERICHTE A/2139/2015 del 10 giugno 2005</w:t>
      </w:r>
    </w:p>
    <w:p>
      <w:pPr>
        <w:pStyle w:val="Heading2"/>
      </w:pPr>
      <w:r>
        <w:t>Volltext</w:t>
      </w:r>
    </w:p>
    <w:p>
      <w:r>
        <w:t>Genève Cour de justice (Cour de droit public) Chambre des assurances sociales 14.07.2015 A/2139/2015</w:t>
      </w:r>
    </w:p>
    <w:p>
      <w:r>
        <w:t>A/2139/2015 ATAS/549/2015 du 14.07.2015 ( LAA ) rÉpublique et canton de genÈve POUVOIR JUDICIAIRE A/2139/2015 ATAS/549/2015 COUR DE JUSTICE Chambre des assurances sociales Arrêt incident du 14 juillet 2015 1 ère Chambre En la cause Monsieur A______, domicilié à VILLE-LA-GRAND, France, comparant avec élection de domicile en l'étude de Maître VAN GESSEL Christian recourant contre AXA WINTERTHUR, Sinistres Suisse, sise chemin de Primerose 11, LAUSANNE, comparant avec élection de domicile en l'étude de Maître ELSIG Didier intimée Attendu en fait que Monsieur A______, né le ______ 1962, travaillait en qualité de mandataire commercial auprès de la banque B______ (SUISSE) SA ; qu’à ce titre il était assuré contre les accidents professionnels et non professionnels conformément à la loi fédérale sur l’assurance-accidents du 20 mars 1981 (LAA) à la WINTERTHUR, devenue AXA WINTERTHUR (ci-après l’assureur) ; Qu’il a été victime d’un accident le 1 er novembre 2000, à la suite duquel il a souffert notamment d'une rupture traumatique de la coiffe des rotateurs de l'épaule droite ; Que par décision du 10 juin 2005, l’office de l’assurance-invalidité du canton de Genève (OAI) a rejeté la demande de prestations déposée par l’assuré ; que par décision sur opposition du 16 avril 2008 toutefois, il lui a reconnu le droit à une demi-rente d’invalidité ; Que par décision du 29 janvier 2007, confirmée sur opposition le 19 mars 2007, l’assureur lui a alloué une rente de 50% ; que le Tribunal cantonal des assurances sociales, alors compétent, a rejeté le recours interjeté par l’assuré, lequel considérait qu’il présentait une incapacité totale de travailler ( ATAS/627/2008 du 27 mai 2008) ; Que dans le cadre d’une révision initiée par l’assureur, celui-ci a, par décision du 15 juin 2015, informé l’assuré qu’il suspendait avec effet immédiat le versement de la rente et retirait l’effet suspensif d’un éventuel recours ; qu’il a expliqué en effet avoir eu connaissance de nouveaux éléments par la ZURICH Assurances, assureur du tiers responsable, selon lesquels le bien-fondé du droit à la rente d’invalidité était très sérieusement remis en question ; Que l’assuré, représenté par Me Christian VAN GESSEL, a interjeté recours le 22 juin 2015 contre ladite décision ; qu’il conclut, préalablement, à la restitution de l’effet suspensif, principalement, à l’annulation de la décision du 15 juin 2015, et, subsidiairement, à ce qu’un mandat d’expertise soit confié à la Policlinique médicale universitaire de Lausanne ou au Professeur C______ à Genève ; Qu’invité à se déterminer sur la question de l’effet suspensif, l’assureur, représenté par Mes D______ et E______, a, dans des écritures du 7 juillet 2015, déclaré qu’il annulait la partie de sa décision du 15 juin 2005 (recte 2015) portant sur ce point, mais maintenait sa décision sur le fond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droit de l'assuré au maintien de sa rente d’invalidité ; Que l'assuré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qu'au surplus, l'art. 55 al. 2 à 4 PA est applicable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 ATF 110 V 46 ), applicable par analogie à l'assurance-invalidité en vertu de l'art. 81 LAI (abrogé par la LPGA) ; Qu’en l’espèce, l’assureur a, par courrier du 7 juillet 2015 adressé à la chambre de céans, expressément renoncé au retrait de l’effet suspensif, de sorte que l’assuré continuera à percevoir sa rente en l’état ; Qu’il convient d’en prendre acte ; Que l’assuré obtient ainsi satisfaction ; Qu’il se justifie dès lors d’admettre le recours, en tant qu’il porte sur le rétablissement de l’effet suspensif ; PAR CES MOTIFS, LA CHAMBRE DES ASSURANCES SOCIALES : Statuant sur incident A la forme : 1.        Déclare le recours recevable.![endif]&gt;![if&gt; Sur effet suspensif : 2.        Admet la requête et restitue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