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A/2137/2007 vom 10. Januar 2008</w:t>
      </w:r>
    </w:p>
    <w:p>
      <w:r>
        <w:t>GE Cour de justice, 2008-01-10, FR</w:t>
      </w:r>
    </w:p>
    <w:p>
      <w:r>
        <w:rPr>
          <w:b/>
        </w:rPr>
        <w:t xml:space="preserve">Quelle: </w:t>
      </w:r>
      <w:r>
        <w:t>https://mcp.opencaselaw.ch/entscheid/ge_gerichte_A_2137_2007</w:t>
      </w:r>
    </w:p>
    <w:p>
      <w:r>
        <w:t>FR: GE_GERICHTE A/2137/2007 du 10 janvier 2008</w:t>
      </w:r>
    </w:p>
    <w:p>
      <w:r>
        <w:t>IT: GE_GERICHTE A/2137/2007 del 10 gennaio 2008</w:t>
      </w:r>
    </w:p>
    <w:p>
      <w:pPr>
        <w:pStyle w:val="Heading2"/>
      </w:pPr>
      <w:r>
        <w:t>Regeste</w:t>
      </w:r>
    </w:p>
    <w:p>
      <w:r>
        <w:t>Les créances qui ne sont pas incorporées dans un papier-valeur peuvent toujours être saisies par l'Office qui diligente la poursuite. Dit Office n'est pas tenu de requérir le concours de l'arrondissement dans lequel le débiteur a son domicile ou son siège pour l'aviser de la saisie. Une banque est un tiers détenant des biens du débiteur (art. 91 al 4 LP). Elle ne peut donc se soustraire à son devoir de renseigner, qui s'étend à la mention d'actifs dont le débiteur serait l'ayant droit économique. Pour éclaircir la situation, au cas où des tiers feraient valoir des droits sur des biens objets de la procédure de poursuite, la LP a instauré la procédure de revendication (art. 106ss LP). Seule la saisie d'un bien appartenant manifestement à un tiers doit être frappée de nullité. Recours au Tribunal fédéral rejeté par arrêt du 10 janvier 2008 ( | LP.89; 91.4; 92.1.ch.11; 99; 106ss</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L'avis concernant la saisie d'une créance (art. 99 LP) est une mesure sujette à plainte et le poursuivi a qualité pour agir par cette voie. La plaignante a, par ailleurs, agi en temps utile (art. 17 al. 2 LP) ainsi que dans le respect des exigences de forme et de contenu posées par la loi (art. 13 al. 1 et 2 LaLP). La plainte sera en conséquence déclarée recevable.</w:t>
      </w:r>
    </w:p>
    <w:p>
      <w:r>
        <w:rPr>
          <w:b/>
        </w:rPr>
        <w:t>E. 2</w:t>
      </w:r>
    </w:p>
    <w:p>
      <w:r>
        <w:t>Selon l'art. 89 LP, lorsque le débiteur est sujet à la poursuite par voie de saisie, l'office, après réception de la réquisition de continuer la poursuite, procède sans retard à la saisie ou y fait procéder par l'office du lieu où se trouvent les biens à saisir. Si la compétence pour exécuter la saisie est ainsi déterminée par la localisation des droits patrimoniaux à mettre sous main de justice, il est cependant de jurisprudence constante que les créances qui ne sont pas incorporées dans un papier-valeur, peuvent toujours êtres saisies par l'office des poursuites qui diligente la poursuite. Dit office, compétent ratione loci , n'est pas tenu de requérir le concours de l'arrondissement dans lequel le débiteur du poursuivi a son domicile ou son siège pour aviser ce dernier de la saisie (Pierre-Robert Gilliéron , Commentaire ad art. 89 n° 19 ss et ad art. 99 n° 14 ; ATF 91 III 81 , JdT 1966 II 37). En l'espèce, l'Office, qui est compétent ratione loci dans le cadre de la poursuite n° 03 xxxx62 A, un for de la poursuite spécial selon l'art. 50 al. 2 LP ayant été constitué à Genève (cf. consid. B. ; arrêt du Tribunal fédéral du 21 septembre 2006 7B.55/2006 ), n'avait donc pas à procéder par délégation, s'agissant des saisies exécutées en mains de Banques B______ SA et C______ à G______.</w:t>
      </w:r>
    </w:p>
    <w:p>
      <w:r>
        <w:rPr>
          <w:b/>
        </w:rPr>
        <w:t>E. 3</w:t>
      </w:r>
    </w:p>
    <w:p>
      <w:r>
        <w:t>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L’Office ne saurait se contenter de vagues indications données par le poursuivi, ni se borner à enregistrer ses déclarations.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op. cit, ad art. 91 n° 19). La saisie ne doit, en effet, pas porter uniquement sur les biens dont le débiteur est sans l'ombre d'un doute le propriétaire, mais aussi sur ceux pour lesquels il existe, sur la base d'indication du créancier ou de l'examen effectué par l'office, des indices suffisants de leur appartenance au patrimoine du poursuivi. Ce n'est que s'il résulte des allégations du poursuivant ou si de toute évidence le droit désigné ne peut avoir pour titulaire le poursuivi, cette question ne pouvant être examinée que succinctement au terme d'une instruction sommaire limitée aux moyens de preuve immédiatement disponibles et absolument concluants, que l'office doit refuser de le mettre sous mains de justice. Lorsque le poursuivant requiert la saisie de valeurs qui sont déposées au nom d'un tiers ou d'avoirs au nom d'un tiers, il faut comprendre qu'il prétend que ces valeurs appartiennent en réalité au poursuivi. Pour éclaircir la situation, au cas où des tiers feraient valoir des droits sur des biens objets de la procédure de poursuite, la LP a instauré la procédure de revendication, laquelle permet au tiers, titulaire du droit patrimonial mis sous main de justice, d'obtenir qu'il soit soustrait à l'exécution forcée dans la poursuite ou les poursuites en cours (art. 106 et ss LP ; Pierre-Robert Gilliéron , op. cit. ad art. 91 n° 42 , ad art. 106 n° 12-13 et ad art. 275 n° 44 ; ATF 129 III 239 , JdT 2003 II 100 et les références citées ; ATF III 106 86, JdT 1982 80 ; ATF 105 III 107 , JdT 1982 II 25 consid. 4). Seule la saisie d'un bien appartenant manifestement à un tiers doit être frappée de nullité (art. 22 al. 1 LP ; SchKG II ad art. 95 n° 57).</w:t>
      </w:r>
    </w:p>
    <w:p>
      <w:r>
        <w:rPr>
          <w:b/>
        </w:rPr>
        <w:t>E. 4</w:t>
      </w:r>
    </w:p>
    <w:p>
      <w:r>
        <w:t>En l'espèce, la Commission de céans considère que la question de savoir si la Banque Centrale de Y______ est une émanation de la poursuivie ou une entité totalement indépendante peut, en l'espèce, rester ouverte. Il ressort, en effet, de la pièce communiquée par la poursuivante à l'Office -dont la teneur n’st pas contestée par la poursuivie-, à savoir un document publié sur Internet par la Banque Centrale de Y______, intitulé " Bank of Y______ Balance Sheet in 2007 (million xxxxxx) ", que cet établissement bancaire détient (au 31 mars 2007) des fonds du Gouvernement russe à hauteur de 3'800'583'000'000 xxxxxx. Il découle en conséquence des considérants qui précèdent (consid. 3.) que l'Office était en droit d'exécuter une saisie sur ces avoirs qui n'apparaissent pas appartenir manifestement au tiers saisi, lequel devra, le cas échéant, agir conformément aux art. 106 ss, sous réserve de leur insaisissabilité au sens de 92 al. 1 ch. 11 LP. 5.a. A teneur de cette disposition, sont insaisissables les biens appartenant à un Etat étranger ou à une banque centrale étrangère qui sont affectés à des tâches leur incombant comme détenteurs de la puissance publique. L'Etat étranger n'est toutefois protégé que lorsqu'il agit dans le cadre de l'exercice de sa souveraineté ( acta iure imperii) et lorsque la prétention déduite en poursuite est issue d'un rapport de droit qui présente un rattachement suffisant avec la Suisse. Lorsque l'Etat étranger a agi iure gestionis et que le rapport de droit présente un lien suffisant avec la Suisse, la disposition précitée pose comme dernière condition à l'insaisissabilité de ses biens leurs affectations à des tâches lui incombant comme détenteur de la puissance publique (FF 1991 III p. 94 ; Michel Ochsner , Commentaire romand, ad art. 92 n° 180 ss ; ATF 113 Ia 172 , JdT 1989 II 148; ATF 111 Ia 52 ). Par ailleurs, l'Etat étranger peut renoncer au bénéfice de l'immunité de l'exécution, par une déclaration reconnaissable ou en laissant procéder ; il peut aussi le faire par avance, dans un contrat, un compromis arbitral ou en corrélation avec une clause d'arbitrage. La renonciation doit viser spécifiquement l'immunité d'exécution, une renonciation à l'immunité de juridiction n'impliquant pas renonciation à l'immunité d'exécution forcée (Christian Dominicé , FJS n° 934 p. 22 ; Pierre-Robert Gilliéron , op. cit. ad art. 30a n° 18). 5.b. En l'espèce, la Commission de céans rappelle que, dans sa décision du 14 décembre 2006 ( DCSO/798/2006 ), elle a rejeté la plainte dirigée contre la saisie d'avoirs détenus par un tiers pour le compte de la Nation Y______ en son nom propre ou comme ayant droit économique par le truchement de personnes physiques et morales et de toute créance dont la Nation Y______ serait titulaire à son égard en son nom propre ou comme ayant droit économique par le truchement de personnes physiques ou morales. Dite Commission a jugé que la poursuivie avait, à teneur de l'art. 5.3 du Protocole d'accord du 31 juillet 2002 conclu avec la poursuivante, renoncé expressément et sans réserve à toute immunité, que cette clause contractuelle comprenait les biens affectés à toutes activités, tant jure gestionis que jure imperii et que, partant, la question de savoir si les biens saisis relevaient de l'une ou l'autre de ces activités, le cas échéant, s'ils étaient affectés à des tâches de puissance publique pouvait rester ouverte (cf. consid. 4.b. de la décision). Le recours formé contre cette décision ayant été rejeté par arrêt du Tribunal fédéral du 15 août 2007 ( 7B.2/2007 ), elle est entrée en force.</w:t>
      </w:r>
    </w:p>
    <w:p>
      <w:r>
        <w:rPr>
          <w:b/>
        </w:rPr>
        <w:t>E. 6</w:t>
      </w:r>
    </w:p>
    <w:p>
      <w:r>
        <w:t>La plainte sera en conséquence rejetée.</w:t>
      </w:r>
    </w:p>
    <w:p>
      <w:r>
        <w:rPr>
          <w:b/>
        </w:rPr>
        <w:t>E. 7</w:t>
      </w:r>
    </w:p>
    <w:p>
      <w:r>
        <w:t>Conformément aux art. 20a al. 2 ch. 5 LP, 61 al. 2 let. a et 62 al. 2 OELP, il n’y a pas lieu de percevoir d’émolument de justice, ni d’allouer des dépens. * * * * * PAR CES MOTIFS, LA COMMISSION DE SURVEILLANCE SIÉGEANT EN SECTION : A la forme : Déclare recevable la plainte formée le 31 mai 2007 par la Nation Y______ les trois avis de saisie communiqués par l'Office des poursuites en date du 16 mai 2007. Au fond : 1. La rejette. 2. Déboute les parties de toutes autres conclusions. Siégeant : Mme Ariane WEYENETH, présidente;  Mme Magali ORSINI et M. Didier BROSSET,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