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A/2135/2011 vom 30. August 2011</w:t>
      </w:r>
    </w:p>
    <w:p>
      <w:r>
        <w:t>GE Cour de justice, 2011-08-30, FR</w:t>
      </w:r>
    </w:p>
    <w:p>
      <w:r>
        <w:rPr>
          <w:b/>
        </w:rPr>
        <w:t xml:space="preserve">Quelle: </w:t>
      </w:r>
      <w:r>
        <w:t>https://mcp.opencaselaw.ch/entscheid/ge_gerichte_A_2135_2011</w:t>
      </w:r>
    </w:p>
    <w:p>
      <w:r>
        <w:t>FR: GE_GERICHTE A/2135/2011 du 30 août 2011</w:t>
      </w:r>
    </w:p>
    <w:p>
      <w:r>
        <w:t>IT: GE_GERICHTE A/2135/2011 del 30 agosto 2011</w:t>
      </w:r>
    </w:p>
    <w:p>
      <w:pPr>
        <w:pStyle w:val="Heading2"/>
      </w:pPr>
      <w:r>
        <w:t>Regeste</w:t>
      </w:r>
    </w:p>
    <w:p>
      <w:r>
        <w:t>MARCHÉS PUBLICS; ATTESTATION; INADVERTANCE MANIFESTE | En écartant une offre déposée dans le cadre d'une procédure de marché public dont une des attestations produites était périmée, le département n'a pas fait preuve de formalisme excessif. Rejet du recours même si le recourant a produit a posteriori devant la chambre administrative l'attestation datant de moins de trois mois et vraisemblablement en sa possession au moment du dépôt de l'offre. | RMP.42.al1.leta ; Cst.29</w:t>
      </w:r>
    </w:p>
    <w:p>
      <w:pPr>
        <w:pStyle w:val="Heading2"/>
      </w:pPr>
      <w:r>
        <w:t>Erwägungen</w:t>
      </w:r>
    </w:p>
    <w:p>
      <w:r>
        <w:rPr>
          <w:b/>
        </w:rPr>
        <w:t>E. 1</w:t>
      </w:r>
    </w:p>
    <w:p>
      <w:r>
        <w:t>Par décision du 7 juillet 2011, le département des constructions et des technologies de l’information (ci-après : le DCTI) a écarté l'offre déposée le 16 juin 2011 par ThyssenKrupp Ascenseurs S.A. (ci-après : ThyssenKrupp S.A.) dans le cadre de la procédure de marché public concernant l'assainissement et la modernisation du parc d'ascenseurs et de monte-charges de l'Etat de Genève, soumise aux accords internationaux et à l'Accord intercantonal sur les marchés publics du 15 mars 2001 (AIMP - L 6 05). L'une des attestations produites - soit celle d’Axa Wintherthur relative aux primes dues pour la prévoyance professionnelle - émise le 15 décembre 2010 était périmée, puisqu'elle datait de plus de trois mois, en violation de l'art. 32 al. 3 du règlement genevois sur la passation des marchés publics du 17 décembre 2007 (RMP - L 6 05.01).</w:t>
      </w:r>
    </w:p>
    <w:p>
      <w:r>
        <w:rPr>
          <w:b/>
        </w:rPr>
        <w:t>E. 2</w:t>
      </w:r>
    </w:p>
    <w:p>
      <w:r>
        <w:t>Par acte posté le 12 juillet 2011, ThyssenKrupp S.A. a recouru contre cette décision, reçue le 11 juillet 2011, auprès de la chambre administrative de la section administrative de la Cour de justice (ci-après : la chambre administrative). Elle regrettait l'erreur administrative commise, car elle avait envoyé au DCTI un document qui n'était pas le bon. Elle joignait l'attestation établie par la même compagnie d'assurance, mais à la date du 25 mai 2011, les autres attestations pour les assurances et les impôts ayant toutes été faites courant mai 2011 également. Ses collaborateurs s'étaient beaucoup investis pour déposer une offre qui réponde à toutes les exigences et soit compétitive et ils seraient déçus que celle-ci soit écartée pour une erreur d'ordre administratif. Elle espérait que son offre puisse être prise en considération dans le cadre de l'adjudication de ce marché public. Elle avait toujours été à jour dans le paiement des cotisations et charges sociales.</w:t>
      </w:r>
    </w:p>
    <w:p>
      <w:r>
        <w:rPr>
          <w:b/>
        </w:rPr>
        <w:t>E. 3</w:t>
      </w:r>
    </w:p>
    <w:p>
      <w:r>
        <w:t>Invité à se déterminer, le DCTI a répondu le 18 juillet 2011 qu'en application de la disposition réglementaire rappelée ci-dessus et de la jurisprudence de la chambre de céans, l'offre de la recourante avait été écartée à juste titre. La soumissionnaire admettait d'ailleurs son erreur. Le marché concerné n'avait pas été adjugé à ce jour. Le recours devait être rejeté.</w:t>
      </w:r>
    </w:p>
    <w:p>
      <w:r>
        <w:rPr>
          <w:b/>
        </w:rPr>
        <w:t>E. 4</w:t>
      </w:r>
    </w:p>
    <w:p>
      <w:r>
        <w:t>Cette écriture a été transmise le 20 juillet 2011 à la recourante avec un délai au 25 juillet 2011 à midi pour d'éventuelles observations, ensuite de quoi la cause serait gardée à juger.</w:t>
      </w:r>
    </w:p>
    <w:p>
      <w:r>
        <w:rPr>
          <w:b/>
        </w:rPr>
        <w:t>E. 5</w:t>
      </w:r>
    </w:p>
    <w:p>
      <w:r>
        <w:t>La seule question à trancher réside dans le fait de savoir si, en écartant l'offre pour ce seul motif, le DCTI a fait preuve d'un formalisme excessif. Le droit des marchés publics est formaliste, comme la chambre de céans l’a déjà rappelé à plusieurs reprises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w:t>
      </w:r>
    </w:p>
    <w:p>
      <w:r>
        <w:rPr>
          <w:b/>
        </w:rPr>
        <w:t>E. 6</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 de ne procéder à ce type de questionnement que de manière restrictive, et seulement lorsque l’offre est au demeurant, conforme aux conditions de l’appel d’offres (J.-B. ZUFFEREY, C. MAILLARD, N. MICHEL, Droit des marchés publics, 2002, p. 110 ; O. RODONDI, La gestion de la procédure de soumission, cité ci-après : La gestion in ZUFFEREY, STOECKLI, Droit des marchés publics 2008 p. 185 n. 63, p. 186). A cet égard, même les auteurs qui préconisent une certaine souplesse dans le traitement des informalités, admettent que l’autorité adjudicatrice détient un certain pouvoir d’appréciation sur le degré de sévérité dont elle désire faire preuve dans le traitement des offres, pour autant qu’elle applique la même rigueur, respectivement la même flexibilité à l’égard des différents soumissionnaires (O. RODONDI, Les délais en droit des marchés publics, cités ci-après  : les délais, RDAF 2007 I p. 187 et 289). Les principes précités valent également pour la phase d’examen de la recevabilité des soumissions (O. RODONDI, La gestion,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ATA/102/2010 du 16 février 2010, confirmé par Arrêts du Tribunal fédéral 2C_197/2010 et 2C_198/2010 du 30 avril 2010). La chambre de céans s'est toujours montrée stricte dans ce domaine, ( ATA/150/2006 du 14 mars 2006, notamment), ce que le Tribunal fédéral a constaté mais confirmé (Arrêts du Tribunal fédéral 2C_197 et 198/2010 précités), la doctrine étant plus critique à cet égard (O. RODONDI, La gestion de la procédure de soumission, in Droit des marchés publics 2008, p. 186 ch. 64). En l'espèce, la chambre de céans n'a aucune raison de s'écarter de sa jurisprudence antérieure, car l'erreur commise par la recourante, pour regrettable qu'elle soit, n'était pas décelable par l'autorité adjudicatrice au moment de l'ouverture des offres. Accorder a posteriori à la recourante la possibilité de substituer à l'attestation périmée celle plus récente reviendrait à violer le principe d'égalité de traitement entre soumissionnaires et serait source d'insécurité juridique.</w:t>
      </w:r>
    </w:p>
    <w:p>
      <w:r>
        <w:rPr>
          <w:b/>
        </w:rPr>
        <w:t>E. 7</w:t>
      </w:r>
    </w:p>
    <w:p>
      <w:r>
        <w:t>Vu l'issue du litige, un émolument de CHF 1'000.- sera mis à la charge de la recourante, à laquelle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