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A/2123/2005 vom 22. März 2005</w:t>
      </w:r>
    </w:p>
    <w:p>
      <w:r>
        <w:t>GE Cour de justice, 2005-03-22, FR</w:t>
      </w:r>
    </w:p>
    <w:p>
      <w:r>
        <w:rPr>
          <w:b/>
        </w:rPr>
        <w:t xml:space="preserve">Quelle: </w:t>
      </w:r>
      <w:r>
        <w:t>https://mcp.opencaselaw.ch/entscheid/ge_gerichte_A_2123_2005</w:t>
      </w:r>
    </w:p>
    <w:p>
      <w:r>
        <w:t>FR: GE_GERICHTE A/2123/2005 du 22 mars 2005</w:t>
      </w:r>
    </w:p>
    <w:p>
      <w:r>
        <w:t>IT: GE_GERICHTE A/2123/2005 del 22 marzo 2005</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la procédure. Dans ce cas, ceux-ci acquièrent les droits et obligations des parties et la décision leur devient opposable.</w:t>
      </w:r>
    </w:p>
    <w:p>
      <w:r>
        <w:rPr>
          <w:b/>
        </w:rPr>
        <w:t>E. 3</w:t>
      </w:r>
    </w:p>
    <w:p>
      <w:r>
        <w:t>En l'espèce, la situation juridique de Madame M__________ pourrait être affectée par l'issue de la présente procédure, dans la mesure où le montant dont la réparation est demandée par la caisse est conjointement et solidairement dû par les deux administrateurs. Il se justifie par conséquent d'appeler en cause Madame M__________.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