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A/2122/2011 vom 14. Juli 2011</w:t>
      </w:r>
    </w:p>
    <w:p>
      <w:r>
        <w:t>GE Cour de justice, 2011-07-14, FR</w:t>
      </w:r>
    </w:p>
    <w:p>
      <w:r>
        <w:rPr>
          <w:b/>
        </w:rPr>
        <w:t xml:space="preserve">Quelle: </w:t>
      </w:r>
      <w:r>
        <w:t>https://mcp.opencaselaw.ch/entscheid/ge_gerichte_A_2122_2011</w:t>
      </w:r>
    </w:p>
    <w:p>
      <w:r>
        <w:t>FR: GE_GERICHTE A/2122/2011 du 14 juillet 2011</w:t>
      </w:r>
    </w:p>
    <w:p>
      <w:r>
        <w:t>IT: GE_GERICHTE A/2122/2011 del 14 luglio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Monsieur G______ a été arrêté le 30 mai 2011 et prévenu par un procureur d'abus de confiance (art. 138 du Code pénal suisse du 21 décembre 1937 (CP - RS 311.0) et d'infraction à l'art. 115 de la loi fédérale sur les étrangers du 16 décembre 2005 (LEtr - RS 142.20).</w:t>
      </w:r>
    </w:p>
    <w:p>
      <w:r>
        <w:rPr>
          <w:b/>
        </w:rPr>
        <w:t>E. 2</w:t>
      </w:r>
    </w:p>
    <w:p>
      <w:r>
        <w:t>Sur requête du Ministère public du 31 mai 2011, le Tribunal des mesures de contrainte (ci-après : TMC) a ordonné sa mise en détention provisoire jusqu'au 15 juin 2011.</w:t>
      </w:r>
    </w:p>
    <w:p>
      <w:r>
        <w:rPr>
          <w:b/>
        </w:rPr>
        <w:t>E. 3</w:t>
      </w:r>
    </w:p>
    <w:p>
      <w:r>
        <w:t>Par ordonnance pénale du 31 mai 2011 OPMP/1879/2011 , le procureur a condamné M. G______ à une peine privative de liberté de cent vingt jours, sous déduction d'un jour de détention préventive pour les faits à l'origine de son arrestation.</w:t>
      </w:r>
    </w:p>
    <w:p>
      <w:r>
        <w:rPr>
          <w:b/>
        </w:rPr>
        <w:t>E. 4</w:t>
      </w:r>
    </w:p>
    <w:p>
      <w:r>
        <w:t>Le 10 juin 2011, le Ministère public a décerné un écrou judiciaire (ci-après : l'écrou) fondé sur l’ordonnance pénale susmentionnée.</w:t>
      </w:r>
    </w:p>
    <w:p>
      <w:r>
        <w:rPr>
          <w:b/>
        </w:rPr>
        <w:t>E. 5</w:t>
      </w:r>
    </w:p>
    <w:p>
      <w:r>
        <w:t>Le 11 juillet 2011, M. G______ a saisi la chambre administrative de la section administrative de la Cour de justice (ci-après : la chambre administrative) d'un recours contre l'écrou, concluant principalement à son annulation, à la constatation qu'il était nul et non avenu et à la constatation du caractère illicite de sa détention dès le 16 juin 2011. Le 10 juin 2011, il avait valablement formé opposition à l’ordonnance pénale du 31 mai 2011, de sorte que l'écrou n'avait pas lieu d'être. Il avait vainement demandé au Ministère public, à la direction de la prison, au TMC et au Tribunal pénal de donner un contreordre à l'écrou. Le 4 juillet 2011, la présidente du Tribunal de police (ci-après : TP) avait finalement demandé au TMC de « régulariser la situation » et il « semblait » qu'une décision de maintien en détention pour des motifs de sûreté avait été rendue, sans avoir été encore notifiée.</w:t>
      </w:r>
    </w:p>
    <w:p>
      <w:r>
        <w:rPr>
          <w:b/>
        </w:rPr>
        <w:t>E. 6</w:t>
      </w:r>
    </w:p>
    <w:p>
      <w:r>
        <w:t>Vu la nature du litige et son issue, aucun émolument ne sera perçu, ni aucune indemnité de procédure allouée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