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A/2121/2025 vom 17. Oktober 2025</w:t>
      </w:r>
    </w:p>
    <w:p>
      <w:r>
        <w:t>GE Cour de justice, 2025-10-17, FR</w:t>
      </w:r>
    </w:p>
    <w:p>
      <w:r>
        <w:rPr>
          <w:b/>
        </w:rPr>
        <w:t xml:space="preserve">Quelle: </w:t>
      </w:r>
      <w:r>
        <w:t>https://mcp.opencaselaw.ch/entscheid/ge_gerichte_A_2121_2025</w:t>
      </w:r>
    </w:p>
    <w:p>
      <w:r>
        <w:t>FR: GE_GERICHTE A/2121/2025 du 17 octobre 2025</w:t>
      </w:r>
    </w:p>
    <w:p>
      <w:r>
        <w:t>IT: GE_GERICHTE A/2121/2025 del 17 ottobre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Dans sa décision sur opposition du 19 mai 2025, la caisse intimée s’est prononcée sur le statut d'assuré du recourant en considérant qu'il ne remplissait pas les conditions permettant d'être reconnu comme indépendant au sens de l'AVS. La décision doit ainsi être qualifiée de décision en constatation de droit au sens de l'art. 49 al. 2 LPGA.</w:t>
      </w:r>
    </w:p>
    <w:p>
      <w:r>
        <w:rPr>
          <w:b/>
        </w:rPr>
        <w:t>E. 3.1</w:t>
      </w:r>
    </w:p>
    <w:p>
      <w:r>
        <w:t>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 voir également l'art. 25 al. 2 PA en corrélation avec l'art. 5 al. 1 let. b PA).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142 V 2 consid. 1.1 ; 132 V 257 consid. 1 ; arrêt du Tribunal fédéral 9C_571/2015 du 8 avril 2016 consid. 2.1).</w:t>
      </w:r>
    </w:p>
    <w:p>
      <w:r>
        <w:rPr>
          <w:b/>
        </w:rPr>
        <w:t>E. 3.2</w:t>
      </w:r>
    </w:p>
    <w:p>
      <w:r>
        <w:t>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 112 V 81 consid. 2a ; arrêts du Tribunal fédéral 9C_571/2015 précité consid. 2.1 ; U 222/02 du 23 avril 2003 consid. 2.2 et les références). Si la juridiction de première instance, au terme de son examen, nie tout intérêt digne de protection à la constatation de la condition du cotisant, elle doit annuler la décision de constatation rendue à tort. L’obligation d'entrer en matière sur le recours existe même dans le cas où la nullité d'une décision de constatation est invoquée (ATF 129 V 289 consid. 3.3).</w:t>
      </w:r>
    </w:p>
    <w:p>
      <w:r>
        <w:rPr>
          <w:b/>
        </w:rPr>
        <w:t>E. 3.3</w:t>
      </w:r>
    </w:p>
    <w:p>
      <w:r>
        <w:t>La chambre de céans a considéré qu’il n’y avait d’intérêt digne de protection à constater le statut de personne sans activité lucrative d’une assurée, qui se prévalait de sa qualité de massothérapeute indépendante. La caisse avait été en mesure de rendre une décision formatrice sur le montant des cotisations dues en cette qualité quelques jours plus tard. Le statut en fonction duquel les cotisations étaient calculées pouvait être contesté dans le cadre d’une opposition ou d’un recours contre une décision de cotisations (cf. par exemple arrêt du Tribunal fédéral 9C_272/2021 du 14 octobre 2021 ; ATAS/634/2024 du 20 août 2024 consid. 5.5).</w:t>
      </w:r>
    </w:p>
    <w:p>
      <w:r>
        <w:rPr>
          <w:b/>
        </w:rPr>
        <w:t>E. 3.4</w:t>
      </w:r>
    </w:p>
    <w:p>
      <w:r>
        <w:t>En l’espèce, on ne voit pas quel intérêt majeur exigeait l'examen préalable de la question du statut de cotisant qui ne pouvait pas être préservé au moyen d'une décision formatrice sur les cotisations paritaires à verser par le recourant. Il n'apparaît pas que son cas soit complexe dès lors qu'il est le seul assuré concerné. Il s'agit en effet de déterminer si, de par son activité de massothérapeute, le recourant peut prétendre exercer durablement une activité lucrative à plein temps au sens de l’art. 28 bis RAVS. Or, un tel examen ne semble pas poser de questions juridiques nouvelles ou particulièrement complexes. Il convient donc de nier l’existence d’un intérêt digne de protection à la constatation immédiate du statut du recourant en matière d'AVS. Il appartiendra, le cas échéant, au recourant de contester les décomptes de cotisations établis par l’intimée pour l’année 2025. Conformément à la jurisprudence précitée, la chambre de céans entrera en matière sur le recours et annulera la décision sur opposition, rendue à tort (ATF 129 V 289 ), sans qu’il n’y ait lieu de statuer sur le fond. Dans cette mesure, le recours doit être admis.</w:t>
      </w:r>
    </w:p>
    <w:p>
      <w:r>
        <w:rPr>
          <w:b/>
        </w:rPr>
        <w:t>E. 4</w:t>
      </w:r>
    </w:p>
    <w:p>
      <w:r>
        <w:t>Le recourant, qui obtient gain de cause sans le concours d’un mandataire professionnel, n’a pas droit à des dépens (art. 61 let. g LPGA).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