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A/2121/2024 vom 21. Mai 2025</w:t>
      </w:r>
    </w:p>
    <w:p>
      <w:r>
        <w:t>GE Cour de justice, 2025-05-21, FR</w:t>
      </w:r>
    </w:p>
    <w:p>
      <w:r>
        <w:rPr>
          <w:b/>
        </w:rPr>
        <w:t xml:space="preserve">Quelle: </w:t>
      </w:r>
      <w:r>
        <w:t>https://mcp.opencaselaw.ch/entscheid/ge_gerichte_A_2121_2024</w:t>
      </w:r>
    </w:p>
    <w:p>
      <w:r>
        <w:t>FR: GE_GERICHTE A/2121/2024 du 21 mai 2025</w:t>
      </w:r>
    </w:p>
    <w:p>
      <w:r>
        <w:t>IT: GE_GERICHTE A/2121/2024 del 21 maggio 2025</w:t>
      </w:r>
    </w:p>
    <w:p>
      <w:pPr>
        <w:pStyle w:val="Heading2"/>
      </w:pPr>
      <w:r>
        <w:t>Erwägungen</w:t>
      </w:r>
    </w:p>
    <w:p>
      <w:r>
        <w:rPr>
          <w:b/>
        </w:rPr>
        <w:t>E. 2</w:t>
      </w:r>
    </w:p>
    <w:p>
      <w:r>
        <w:t>Le litige porte sur le droit du recourant à une rente d'invalidité dans le cadre d'une nouvelle demande de prestations, singulièrement sur sa capacité de travail dans une activité adaptée.</w:t>
      </w:r>
    </w:p>
    <w:p>
      <w:r>
        <w:rPr>
          <w:b/>
        </w:rPr>
        <w:t>E. 3</w:t>
      </w:r>
    </w:p>
    <w:p>
      <w:r>
        <w:t>Le 1 er janvier 2022, la révision de la LAI, de même que celle de la LPGA, ainsi que les ordonnances d’application sont entrées en vigueur (Développement continu de l’AI ; modification du 19 juin 2020, RO 2021 705 ; FF 2017 2535).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(ATF 150 V 323 consid. 4.2).</w:t>
      </w:r>
    </w:p>
    <w:p>
      <w:r>
        <w:rPr>
          <w:b/>
        </w:rPr>
        <w:t>E. 4.1</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il convient d'examiner si l'état de santé du recourant s'est péjoré depuis la dernière décision de l'intimé du 26 mai 2020, entrée en force, mettant le recourant au bénéfice d'une rente d'invalidité entière limitée dans le temps. Pour ce faire, il y a lieu de comparer les faits tels qu’ils se présentaient lors de cette décision à ceux prévalant au moment de la décision litigieuse.</w:t>
      </w:r>
    </w:p>
    <w:p>
      <w:r>
        <w:rPr>
          <w:b/>
        </w:rPr>
        <w:t>E. 5.1.1</w:t>
      </w:r>
    </w:p>
    <w:p>
      <w:r>
        <w:t>À l'époque, l'intimé avait retenu, sur la base des avis du SMR des 7 février 2018 et 22 mars 2020 - le premier étant lui-même fondé sur le rapport d'expertise de la B______ du 12 décembre 2017 - que le recourant, inapte à exercer son activité habituelle de maçon depuis le 18 octobre 2011, pouvait exercer à plein temps une activité adaptée à ses limitations fonctionnelles somatiques, depuis le 26 mai 2013. Dans le rapport précité, les experts de la B______ avaient posé, avec effet sur la capacité de travail du recourant, les diagnostics de lombo-pseudosciatalgies chroniques avec failed back surgery syndrom après laminectomie de la partie supérieure de L2 jusqu'à la partie supérieure de L5 le 29 février 2012 ainsi qu'en 2013 (en deux temps), de canal lombaire étroit, de troubles dégénératifs lombaires pluriétagés avec hernie discale L3, de séquelle de maladie de Scheuermann, de douleurs chroniques du pouce gauche avec dégantage hémi-circonférentiel du pouce gauche et section complète du court abducteur et du long extenseur du pouce gauche le 12 janvier 2009, et de fracture de la phalange distale du pouce gauche traitée par ostéosynthèse le 10 décembre 2013 avec ablation du matériel d'ostéosynthèse le 7 février 2014 (n'ayant pas occasionné une incapacité de travail durable). Les experts avaient retenu que la pathologie vertébrale entraînait les limitations fonctionnelles suivantes : pas de travaux lourds, pas de port de charges excédant 15 kg, positon de travail alternée, pas de porte-à-faux du tronc, pas d'exposition aux vibrations corporelles. Les limitations fonctionnelles pour le pouce gauche étaient : pas de travail nécessitant de mouvements de pince, d'utilisation continue et fine du pouce gauche, de mouvement de préhension, pas d'utilisation d'engin vibrant ou d'exposition au froid. Les experts avaient conclu que la capacité de travail du recourant était définitivement nulle dans son activité habituelle de maçon. En revanche, dans une activité adaptée à ses limitations fonctionnelles, et en l'absence de pathologie psychiatrique incapacitante, sa capacité de travail était entière dès le 26 mai 2013, trois mois après la deuxième chirurgie lombaire. Après que le recourant ait contesté le projet de décision du 30 septembre 2019, en produisant des pièces médicales se rapportant essentiellement à ses gonalgies bilatérales, l'OAI avait instruit le dossier en soumettant un questionnaire préétabli tant au médecin traitant généraliste qu'au service de chirurgie orthopédique et traumatologie de l'appareil moteur des HUG. À la suite de quoi, dans son avis du 22 mars 2020, le SMR avait ajouté les limitations fonctionnelles suivantes en raison de la gonarthrose bilatérale prédominant à gauche : activité légère, sédentaire, principalement en position assise, permettant l'alternance des positions au gré du recourant, sans usage fréquent d'échelle, escabeau ou escalier, et manipulation de charges limitées à 5/7 kg, sans modification du taux de la capacité de travail résiduelle du recourant dans une activité adaptée. C'est ainsi que le recourant avait été mis au bénéfice d'une rente d'invalidé entière pour la période du 1 er octobre 2012 au 31 août 2013, son taux d'invalidité étant inférieur au taux minimal requis par la loi de 40% pour pouvoir prétendre à une rente pour la période postérieure.</w:t>
      </w:r>
    </w:p>
    <w:p>
      <w:r>
        <w:rPr>
          <w:b/>
        </w:rPr>
        <w:t>E. 5.1.2</w:t>
      </w:r>
    </w:p>
    <w:p>
      <w:r>
        <w:t>La décision litigieuse, quant à elle, se fonde sur le rapport d'expertise rhumatologique du 12 mars 2024. Ce rapport comprend les données objectives du dossier, soit les pièces médicales essentielles, y compris radiologiques (pp. 7-35 et 49), les données subjectives du recourant et l’anamnèse (pp. 36-44), l’examen somatique (pp. 45-49) ainsi que l'appréciation du cas (pp. 50-59). Sur le fond, l'expert a posé les diagnostics, avec répercussion sur la capacité de travail, de lombosciatalgies bilatérales sur récidive du canal lombaire étroit opéré deux fois ( status post laminectomie lombaire L2-L5 en février 2012, status post complément de laminectomie L4 et de laminectomie supérieure de L5 avec récessotomie en 2013), rétrécissements foraminaux L3-L4 et L4-L5, atteintes dégénératives zygapophysaires, déconditionnement musculaire, de gonalgies bilatérales mécaniques d'origine dégénérative après ostéotomie fémorale distale et tibiale proximale gauche le 20 août 2020 et ostéotomie tibiale de valgisation du genou droit le 3 novembre 2022, et de déficit de la préhension de la main gauche à la suite de deux traumatismes (un débridement de plaie de greffe cutanée du pouce après que la main gauche était happée en 2009, une fracture de type Mallet pouce gauche nécessitant une ostéosynthèse avec deux vis avec broche en 2013). L'expert a relevé que le recourant présentait une récidive de son canal rétréci malgré les opérations de 2012 et 2013 selon le tableau clinique et l'IRM lombaire. L'absence de manœuvre de Lasègue et déficit sensitivomoteur parlait contre une atteinte radiculaire au jour de l'expertise. La diminution du reflexe rotulien à droite pouvait être due aux séquelles des diverses opérations. Des gonalgies bilatérales sur trouble dégénératif persistaient également malgré les opérations de valgisation en 2020 et 2022 hormis la disparition des épanchements articulaires. L'expert précisait que le recourant marchait sans moyen auxiliaire (p. 51). Ce dernier présentait également un déficit de préhension de la main gauche post-traumatique qui s'accompagnait d'une amyotrophie de la loge thénarienne. La cervicalgie sur troubles génératifs n'était quant à elle pas incapacitante (pp. 53-54). L'expert a conclu que la capacité de travail du recourant, nulle dans l'activité habituelle de maçon, était entière dans une activité adaptée à ses limitations fonctionnelles (sans port de charges supérieures à 5 kg, ni position debout / assise / marche prolongée, ni travail en position de porte-à-faux lombaire, ni travail sur une échelle / en terrain irrégulier, ni travail nécessitant de mettre les genoux à terre, nécessitant une rotation de la colonne ou nécessitant des travaux de force avec la main gauche [fermer le poing, la préhension], ni travail de force avec des membres supérieurs) depuis janvier 2013, excepté des périodes d'incapacité de travail transitoires de quatre mois post-opératoires qui pouvaient être raisonnablement retenues pour chaque genou. Les pièces médicales produites par le recourant à l'appui de son recours ne lui sont d'aucun secours, car ces documents (hormis le rapport du médecin traitant généraliste du 9 septembre 2019 [pièce 11] et celui du service d'ORL et de chirurgie cervico-faciale des HUG du 24 novembre 2021 [pièce 19]) étaient connus de l'expert et ne font pas état d'éléments médicaux qui auraient été ignorés par celui-ci. Le fait que l'expert ait omis de citer ces deux rapports ne discrédite pas ses conclusions. En effet, dans le premier, le médecin généraliste rapporte essentiellement les gonalgies du recourant et se réfère à l'IRM du genou gauche du 13 août 2019, soit des faits et une imagerie qui étaient eux connus de l'expert. Quant au deuxième rapport, les HUG évoquent l'atteinte aux deux oreilles du recourant. Ceci étant, dans un rapport du 5 avril 2013, le service ORL des HUG a mentionné que les problèmes otologiques du recourant n'affectaient pas sa capacité de travail (dossier OAI p. 660). Depuis lors, aucun rapport médical au dossier n'atteste le contraire. Le rapport du médecin traitant généraliste du 22 novembre 2023, que le recourant a produit dans le cadre de l'audition contre le projet de décision du 12 avril 2023, n'est pas non plus de nature à remettre en doute l'appréciation de l'expert, étant donné que le médecin traitant ne fait pas état d'éléments médicaux qui auraient été ignorés par l'expert. Par ailleurs, le médecin traitant ne se prononce pas sur la capacité de travail résiduelle du recourant. Le fait que les troubles aux genoux du recourant entraînent des limitations fonctionnelles supplémentaires n'a à lui seul aucune conséquence sur la capacité de gain du recourant, puisque ces atteintes n'ont pas de répercussion sur la capacité de travail du recourant qui demeure entière dans une activité adaptée respectant ses limitations fonctionnelles. En outre, l'expert a indiqué, sur la base des informations fournies par le recourant, le traitement médicamenteux que suivait ce dernier au jour de l'expertise, tout en relevant que, selon les dires mêmes du recourant, ses douleurs avaient passé de 9 à 5/10 grâce audit traitement, et que parfois, il pouvait ne pas prendre le traitement morphinique le soir (pp. 38, 43-44). Quand bien même les douleurs du recourant n'ont pas disparu, il y a lieu de souligner, comme l'ont mis en évidence les experts de la B______ déjà à l'époque, que les douleurs sont un phénomène subjectif, propre à chaque individu (dossier OAI p. 1257). Or, pour pouvoir déterminer le droit aux prestations de l'assurance, l'administration et, en cas de recours, le juge se fondent sur une appréciation médicale objective. Dans ce cadre, aucun rapport médical n'atteste que la prise des médicaments, voire leur éventuelle dépendance, auraient des effets négatifs sur la capacité de travail du recourant. Quant aux éventuels troubles psychiques allégués par le recourant dans le cadre de son recours, aucun rapport médical au dossier n'atteste qu'ils auraient valeur de maladie et impacteraient sa capacité de travail depuis la dernière expertise de la B______, laquelle relevait qu'ils n'étaient pas incapacitants. Ainsi, en l'absence de rapport médical susceptible de remettre en cause le rapport d'expertise rhumatologique du 12 mars 2024, les conclusions de l'expert emportent la conviction. Au passage, le fait que cet expert ait fixé le début de la capacité de travail résiduelle du recourant dans une activité adaptée au 1 er janvier 2013, plutôt qu'au 26 mai 2013 d'après les experts de la B______, n'ôte pas à lui seul la valeur probante du rapport d'expertise de 2024 pour ce qui est de l'évaluation de la capacité de travail résiduelle du recourant, qui est en fin de compte demeurée totale depuis, en tout cas, le 26 mai 2013, excepté les périodes d'incapacité de travail transitoires de quatre mois consécutives à l'opération de chaque genou, le 20 août 2020 du côté gauche et le 3 novembre 2022 du côté droit.</w:t>
      </w:r>
    </w:p>
    <w:p>
      <w:r>
        <w:rPr>
          <w:b/>
        </w:rPr>
        <w:t>E. 5.1.3</w:t>
      </w:r>
    </w:p>
    <w:p>
      <w:r>
        <w:t>En définitive, les atteintes du recourant à la colonne vertébrale, à la main gauche et aux genoux n'ont pas modifié sa capacité de travail résiduelle qui est restée entière dans une activité adaptée depuis le 26 mai 2013.</w:t>
      </w:r>
    </w:p>
    <w:p>
      <w:r>
        <w:rPr>
          <w:b/>
        </w:rPr>
        <w:t>E. 5.2</w:t>
      </w:r>
    </w:p>
    <w:p>
      <w:r>
        <w:t>En l'absence d'un motif de révision, il n'y a pas lieu de procéder à un nouveau calcul pour évaluer le degré d'invalidité du recourant, étant souligné que les périodes d'incapacité de travail transitoires sus rappelées de quatre mois seulement sont insuffisantes pour aboutir à l'octroi d'une prestation sous forme de rente (art. 28 al. 1 LAI). Aussi, par appréciation anticipée des preuves (ATF 122 II 464 consid. 4a), est-il superflu d'entendre oralement le recourant (qui s'est déjà exprimé par écrit) et son médecin traitant généraliste, ou de mettre en œuvre une expertise judiciaire.</w:t>
      </w:r>
    </w:p>
    <w:p>
      <w:r>
        <w:rPr>
          <w:b/>
        </w:rPr>
        <w:t>E. 6</w:t>
      </w:r>
    </w:p>
    <w:p>
      <w:r>
        <w:t>Au vu de ce qui précède, le recours sera rejeté et le recourant condamné au paiement d'un émolument de CHF 200.- (art. 69 al.1 bis LAI). Le recourant, qui succombe,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