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A/2121/2018 vom 24. September 2018</w:t>
      </w:r>
    </w:p>
    <w:p>
      <w:r>
        <w:t>GE Cour de justice, 2018-09-24, FR</w:t>
      </w:r>
    </w:p>
    <w:p>
      <w:r>
        <w:rPr>
          <w:b/>
        </w:rPr>
        <w:t xml:space="preserve">Quelle: </w:t>
      </w:r>
      <w:r>
        <w:t>https://mcp.opencaselaw.ch/entscheid/ge_gerichte_A_2121_2018</w:t>
      </w:r>
    </w:p>
    <w:p>
      <w:r>
        <w:t>FR: GE_GERICHTE A/2121/2018 du 24 septembre 2018</w:t>
      </w:r>
    </w:p>
    <w:p>
      <w:r>
        <w:t>IT: GE_GERICHTE A/2121/2018 del 24 settembre 2018</w:t>
      </w:r>
    </w:p>
    <w:p>
      <w:pPr>
        <w:pStyle w:val="Heading2"/>
      </w:pPr>
      <w:r>
        <w:t>Erwägungen</w:t>
      </w:r>
    </w:p>
    <w:p>
      <w:r>
        <w:rPr>
          <w:b/>
        </w:rPr>
        <w:t>E. 1</w:t>
      </w:r>
    </w:p>
    <w:p>
      <w:r>
        <w:t>Aux termes des art. 17 al. 1 de l’Accord intercantonal sur les marchés publics du 25 novembre 1994 (AIMP - L 6 05) et 58 al. 1 du règlement sur la passation des marchés publics du 17 décembre 2007 (RMP - L 6 05.01),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oppose.![endif]&gt;![if&gt; L’examen de la requête suppose une appréciation prima facie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ATA/446/2017 du 24 avril 2017 consid. 2 ; ATA/62/2017 du 23 janvier 2017 consid. 2 ; Benoît BOVAY, Recours, effet suspensif et conclusion du contrat, in Jean-Baptiste ZUFFEREY/Hubert STÖCKLI, Marchés publics 2010, Zurich 2010, pp. 311-341, p. 317 n. 15).</w:t>
      </w:r>
    </w:p>
    <w:p>
      <w:r>
        <w:rPr>
          <w:b/>
        </w:rPr>
        <w:t>E. 2</w:t>
      </w:r>
    </w:p>
    <w:p>
      <w:r>
        <w:t>La recevabilité du recours apparaît, à première vue, extrêmement douteuse. La jurisprudence indique que les membres d’un consortium doivent, lorsqu’ils recourent, le faire en commun lorsqu’ils sont uniquement touchés par la mesure qu’ils contestent en tant qu’associés, et non pas individuellement ( ATA/124/2010 du 2 mars 2010 ainsi que les références citées).![endif]&gt;![if&gt; Toujours à première vue, le contenu du contrat de société simple, mis en avant par les recourants, ne lie que les membres de la société simple et n’a pas d’effet externe suffisant pour autoriser une partie des associés à agir seule en justice. Certes, l’art. 534 de la loi fédérale complétant le Code civil suisse du 30 mars 1911 (Livre cinquième : Droit des obligations (CO - RS 220) prévoit que les associés de la société simple peuvent décider de prendre leur décision à la majorité, mais dans ces cas-là, elle se compte par tête (art. 534 al. 2 CO).</w:t>
      </w:r>
    </w:p>
    <w:p>
      <w:r>
        <w:rPr>
          <w:b/>
        </w:rPr>
        <w:t>E. 3</w:t>
      </w:r>
    </w:p>
    <w:p>
      <w:r>
        <w:t>D’autre part, et toujours à première vue, il apparaît douteux que les recourants disposent d’un intérêt au recours. ![endif]&gt;![if&gt; L’avenant qu’ils ont signé semble mettre sur pied un dispositif permettant à l’aéroport de mettre fin au contrat le liant avec le pool selon une forme et une procédure qui apparaissent avoir été suivies.</w:t>
      </w:r>
    </w:p>
    <w:p>
      <w:r>
        <w:rPr>
          <w:b/>
        </w:rPr>
        <w:t>E. 4</w:t>
      </w:r>
    </w:p>
    <w:p>
      <w:r>
        <w:t>S’agissant de la pondération des intérêts en présence, l’intérêt du pool à achever le contrat initial qu’ils avaient signé apparaît certes important. Il doit toutefois être, à première vue, relativisé dans la mesure où les désaccords au sein du pool, peuvent, à première vue, susciter une certaine inquiétude sur la possibilité pour les associés d’offrir leurs prestations jusqu’au terme du contrat. L’intérêt public de l’aéroport, lequel doit impérativement mettre à jour ses installations de traitement des bagages, a une importance qui doit être qualifiée de prépondérante. ![endif]&gt;![if&gt;</w:t>
      </w:r>
    </w:p>
    <w:p>
      <w:r>
        <w:rPr>
          <w:b/>
        </w:rPr>
        <w:t>E. 5</w:t>
      </w:r>
    </w:p>
    <w:p>
      <w:r>
        <w:t>En procédant ainsi à une appréciation globale des éléments, dans une analyse effectuée à première vue, la demande de restitution de l’effet suspensif sera rejetée. Les chances de succès du recours et l’intérêt privé des recourants n’apparaissent en effet pas suffisamment lourds par rapport à l’intérêt public de l’aéroport à ce que son projet visant à mettre à jour les installations de tri des bagages progresse.![endif]&gt;![if&gt;</w:t>
      </w:r>
    </w:p>
    <w:p>
      <w:r>
        <w:rPr>
          <w:b/>
        </w:rPr>
        <w:t>E. 6</w:t>
      </w:r>
    </w:p>
    <w:p>
      <w:r>
        <w:t>Le sort des frais de la présente décision sera tranché dans l’arrêt à rendre au fond.![endif]&gt;![if&gt; vu les art. 21 et 66 al. 3 de la loi sur la procédure administrative du 12 septembre 1985 ; vu l’art. 9 al. 1 du règlement de la chambre administrative du 26 septembre 2017 ;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Vincent Maître, avocat des recourants, ainsi qu'à Me Daniel Guignard, avocat de l'Aéroport International de Genève.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