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A/2117/2011 vom 19. Januar 2012</w:t>
      </w:r>
    </w:p>
    <w:p>
      <w:r>
        <w:t>GE Cour de justice, 2012-01-19, FR</w:t>
      </w:r>
    </w:p>
    <w:p>
      <w:r>
        <w:rPr>
          <w:b/>
        </w:rPr>
        <w:t xml:space="preserve">Quelle: </w:t>
      </w:r>
      <w:r>
        <w:t>https://mcp.opencaselaw.ch/entscheid/ge_gerichte_A_2117_2011</w:t>
      </w:r>
    </w:p>
    <w:p>
      <w:r>
        <w:t>FR: GE_GERICHTE A/2117/2011 du 19 janvier 2012</w:t>
      </w:r>
    </w:p>
    <w:p>
      <w:r>
        <w:t>IT: GE_GERICHTE A/2117/2011 del 19 gennaio 2012</w:t>
      </w:r>
    </w:p>
    <w:p>
      <w:pPr>
        <w:pStyle w:val="Heading2"/>
      </w:pPr>
      <w:r>
        <w:t>Regeste</w:t>
      </w:r>
    </w:p>
    <w:p>
      <w:r>
        <w:t>Communication. Durée de validité d'une saisie de revenus. Sans objet. | Saisie périmée. Recours au TF interjeté le 29 septembre 2011 par le débiteur, admis par arrêt du 19 janvier 2012 ( | LP.34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L'Autorité de surveillance est compétente pour statuer sur les plaintes formées en application de la LP (art. 13 LP; art. 125 et 126 LOJ; art. 6 al. 1 et 3 et 7 al. 1 LaLP) contre des mesures non attaquables par la voie judiciaire (art. 17 al. 1 LP).</w:t>
      </w:r>
    </w:p>
    <w:p>
      <w:r>
        <w:rPr>
          <w:b/>
        </w:rPr>
        <w:t>E. 1.2</w:t>
      </w:r>
    </w:p>
    <w:p>
      <w:r>
        <w:t>La révision de la quotité saisissable, respectivement, le refus de réviser, peut être contesté par la voie de la plainte et le poursuivi a qualité pour agir par cette voie.</w:t>
      </w:r>
    </w:p>
    <w:p>
      <w:r>
        <w:rPr>
          <w:b/>
        </w:rPr>
        <w:t>E. 1.3</w:t>
      </w:r>
    </w:p>
    <w:p>
      <w:r>
        <w:t>La plainte doit être déposée dans les dix jours à compter de celui où le plaignant a eu connaissance de la mesure (art. 17 al. 2 LP). A teneur de l'art. 34 LP, les communications, les mesures et les décisions des offices et des autorités de surveillance se font par écrit; elles sont notifiées par lettre recommandée ou d'une autre manière contre reçu, à moins que la présente loi n'en dispose autrement. La violation de cette disposition compromet l’établissement du dies a quo du délai pour porter plainte.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