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A/2115/2023 vom 17. September 2024</w:t>
      </w:r>
    </w:p>
    <w:p>
      <w:r>
        <w:t>GE Cour de justice, 2024-09-17, FR</w:t>
      </w:r>
    </w:p>
    <w:p>
      <w:r>
        <w:rPr>
          <w:b/>
        </w:rPr>
        <w:t xml:space="preserve">Quelle: </w:t>
      </w:r>
      <w:r>
        <w:t>https://mcp.opencaselaw.ch/entscheid/ge_gerichte_A_2115_2023</w:t>
      </w:r>
    </w:p>
    <w:p>
      <w:r>
        <w:t>FR: GE_GERICHTE A/2115/2023 du 17 septembre 2024</w:t>
      </w:r>
    </w:p>
    <w:p>
      <w:r>
        <w:t>IT: GE_GERICHTE A/2115/2023 del 17 settembre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Le contrat d'assurance d'indemnités journalières en cas de maladie couvrant le risque de perte de gain, soumis à la LCA, relève de l'assurance complémentaire à l'assurance-maladie sociale (arrêts du Tribunal fédéral 4A_47/2012 du 12 mars 2012 consid. 2 ; 4A_118/2011 du 11 octobre 2011 consid. 1.3 et les références citées). Selon l'art.1 let. b des CGA, le contrat est régi notamment par la LCA. La compétence de la chambre de céans à raison de la matière pour juger du cas d’espèce est ainsi établie.</w:t>
      </w:r>
    </w:p>
    <w:p>
      <w:r>
        <w:rPr>
          <w:b/>
        </w:rPr>
        <w:t>E. 1.2</w:t>
      </w:r>
    </w:p>
    <w:p>
      <w:r>
        <w:t>Sauf disposition contraire du CPC, pour les actions dirigées contre les personnes morales, le for est celui de leur siège (art. 10 al. 1 let. b CPC), étant précisé que l’art. 17 al. 1 CPC consacre la possibilité d’une élection de for écrite. En l'occurrence, selon l'art. 90 des CGA, le preneur d'assurance et l'assuré peuvent élire à leur choix le for ordinaire ou celui de leur domicile suisse ou dans la principauté du Liechtenstein. Le demandeur, en sa qualité d'assuré, ayant son domicile dans le canton de Genève, la chambre de céans est compétente à raison du lieu pour connaître de la présente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2.1</w:t>
      </w:r>
    </w:p>
    <w:p>
      <w:r>
        <w:t>Sur le plan matériel, la LCA a fait l’objet d’une révision entrée en vigueur le 1 er janvier 2022 (modification du 19 juin 2020 ; RO 2020 4969 ; RO 2021 357).</w:t>
      </w:r>
    </w:p>
    <w:p>
      <w:r>
        <w:rPr>
          <w:b/>
        </w:rPr>
        <w:t>E. 2.2</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2.3</w:t>
      </w:r>
    </w:p>
    <w:p>
      <w:r>
        <w:t>En l'occurrence, le contrat d'assurance a été conclu avant le 1 er janvier 2022 et l’objet du litige ne porte ni sur des prescriptions en matière de forme, ni sur le droit de résiliation au sens des art. 35a et 35b LCA, de sorte que les dispositions de la LCA applicables seront citées dans leur ancienne teneur.</w:t>
      </w:r>
    </w:p>
    <w:p>
      <w:r>
        <w:rPr>
          <w:b/>
        </w:rPr>
        <w:t>E. 3</w:t>
      </w:r>
    </w:p>
    <w:p>
      <w:r>
        <w:t>Le litige porte sur le droit éventuel du demandeur à des indemnités journalières au-delà du 31 août 2022, date à compter de laquelle la défenderesse a mis fin auxdites prestations.</w:t>
      </w:r>
    </w:p>
    <w:p>
      <w:r>
        <w:rPr>
          <w:b/>
        </w:rPr>
        <w:t>E. 4.1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4.2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4.3</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5.1</w:t>
      </w:r>
    </w:p>
    <w:p>
      <w:r>
        <w:t>Aux termes de l’art. 168 al. 1 CPC, les moyens de preuve sont le témoignage (let. a) ; les titres (let. b) ; l’inspection (let. c) ; l’expertise (let. d) ; les renseignements écrits (let. e) ; l’interrogatoire et la déposition de partie (let. f).</w:t>
      </w:r>
    </w:p>
    <w:p>
      <w:r>
        <w:rPr>
          <w:b/>
        </w:rPr>
        <w:t>E. 5.2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En ce qui concerne les rapports des médecins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2021 consid. 7.1).</w:t>
      </w:r>
    </w:p>
    <w:p>
      <w:r>
        <w:rPr>
          <w:b/>
        </w:rPr>
        <w:t>E. 6.1</w:t>
      </w:r>
    </w:p>
    <w:p>
      <w:r>
        <w:t>Depuis l'entrée en vigueur de la LAMal, le 1 er janvier 1996, les assurances complémentaires à l'assurance-maladie sociale au sens de cette loi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w:t>
      </w:r>
    </w:p>
    <w:p>
      <w:r>
        <w:rPr>
          <w:b/>
        </w:rPr>
        <w:t>E. 6.2</w:t>
      </w:r>
    </w:p>
    <w:p>
      <w:r>
        <w:t>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7.1</w:t>
      </w:r>
    </w:p>
    <w:p>
      <w:r>
        <w:t>Selon l'art. 2 des CGA, SWICA garantit une couverture d'assurance destinée à protéger l'assuré des conséquences économiques de la maladie (…) dans le cadre des prestations convenues. Selon l'art. 3 des CGA, est considérée comme une maladie toute atteinte à la santé physique ou psychique non consécutive à un accident exigeant un examen ou un traitement médical ou entraînant une incapacité de travailler. Selon l'art. 12 des CGA, en cas d'incapacité de travail complète de l'assuré médicalement attestée, SWICA verse l'indemnité journalière convenue dans le contrat. Selon l'art. 13 des CGA, en cas d'incapacité de travail partielle d'au moins 25%, l'indemnité journalière est versée proportionnellement au degré de cette incapacité de travail. Selon l'art. 16 des CGA, l'incapacité de travail est définie comme étant l'inaptitude partielle ou totale de l'assuré à fournir le travail que l'on peut raisonnablement attendre de lui dans sa profession actuelle ou son domaine de tâches, en raison d'une atteinte à sa santé physique ou psychique. Au bout de trois mois d'incapacité de travailler, l'exercice d'une activité dans une autre profession ou un autre domaine de tâches est envisagé pour l'assuré, dans les limites de ce que l'on peut raisonnablement attendre de lui. Selon l'art. 21 des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Selon l'art. 25 des CGA, après extinction de la couverture d'assurance, l'obligation qui incombe à SWICA de verser des prestations s'éteint. Selon l'art. 42 des CGA, la couverture d'assurance prend fin pour chaque assuré notamment lors de son départ de l'entreprise assurée. Selon l'art. 43 des CGA, en cas de sortie du groupe des assurés ou d'extinction du contrat, l'assuré domicilié en Suisse (…) a le droit de passer dans l'assurance individuelle. Il doit pour cela faire valoir son droit de passage par écrit dans les 90 jours (…). Selon l'art. 44 des CGA, le preneur d'assurance est tenu de fournir suffisamment à l'avance à la personne qui sort du cercle des assurés des informations sur le droit de passage dans l'assurance individuelle et le délai à observer.</w:t>
      </w:r>
    </w:p>
    <w:p>
      <w:r>
        <w:rPr>
          <w:b/>
        </w:rPr>
        <w:t>E. 7.2</w:t>
      </w:r>
    </w:p>
    <w:p>
      <w:r>
        <w:t>En l'occurrence, la défenderesse, en se référant au rapport d'expertise psychiatrique du 1 er février 2022, établi à sa demande, qui considérait que le demandeur, au jour de l'expertise le 25 janvier 2022, disposait d'une capacité de travail entière dans son activité habituelle d'éducateur, a cessé de prester au-delà du 31 août 2022. Par contre, le demandeur, en s'appuyant sur le rapport de son psychiatre traitant du 1 er juillet 2022, requiert le versement d'indemnités journalières correspondant à une incapacité de travail de 100% pour la période s'étendant du 1 er septembre 2022 au 28 février 2023 et de 50% pour la période dès le 1 er mars 2023.</w:t>
      </w:r>
    </w:p>
    <w:p>
      <w:r>
        <w:rPr>
          <w:b/>
        </w:rPr>
        <w:t>E. 7.3</w:t>
      </w:r>
    </w:p>
    <w:p>
      <w:r>
        <w:t>Au préalable, il convient de déterminer la période sur laquelle les indemnités journalières peuvent porter. Le régime ordinaire de l'assurance pour perte de gain en cas de maladie régie par la LCA est le versement des prestations jusqu'à épuisement de celles-ci lorsque le sinistre est intervenu durant la période de couverture ; il est toutefois possible de déroger à ce régime ordinaire par l'adoption d'un système particulier prévoyant la cessation du paiement des indemnités d'assurance à la fin des rapports de travail (ATF 127 III 106 consid. 3b). Dans cette dernière hypothèse, le travailleur a la possibilité de maintenir son droit aux prestations d'assurance après la fin des relations contractuelles, en formulant une demande de transfert ; pour ce faire, il doit agir dans un certain délai, défini dans les conditions générales d'assurance (arrêt du Tribunal fédéral 4A_186/2010 du 3 juin 2010 consid. 3). En l'occurrence, les art. 25 et 42 des CGA précités prévoient la suppression du droit aux prestations lorsque l'assuré, après un événement ouvrant le droit aux prestations, sort de l'assurance collective parce qu'il a cessé d'appartenir au cercle des assurés notamment après la fin des rapports de travail. Par courriers du 22 juin 2022, le demandeur a été informé du fait que la couverture d'assurance prenait fin lors de son départ de l'entreprise et qu'il pouvait agir dans un délai de 90 jours pour s'affilier à titre individuel. Or, le demandeur, qui a été correctement informé de ses droits, n'a pas sollicité son passage dans l'assurance individuelle. Dans la mesure où le contrat de travail du demandeur a pris fin le 31 décembre 2022, celui-ci ne faisait plus partie du cercle des bénéficiaires de l'assurance collective au-delà de cette date. Par conséquent, le demandeur peut réclamer, le cas échéant, des indemnités journalières uniquement pour la période du 1 er septembre au 31 décembre 2022.</w:t>
      </w:r>
    </w:p>
    <w:p>
      <w:r>
        <w:rPr>
          <w:b/>
        </w:rPr>
        <w:t>E. 7.4</w:t>
      </w:r>
    </w:p>
    <w:p>
      <w:r>
        <w:t>Sur le plan purement médical, l'expertise psychiatrique se fonde sur l'anamnèse et les plaintes du demandeur (p. 3-6), le rapport du médecin traitant du 20 décembre 2021 (l'unique rapport médical au dossier ; p. 7), ainsi que l'examen clinique (p. 6-7). L'expert, sur la base de ses observations, a retenu le diagnostic de troubles anxieux non incapacitant. Certes, l'expert a indiqué qu'il était « difficile d'obtenir de [la] part [du demandeur] des réponses précises aux questions posées notamment en ce qui concerne sa situation sur le plan psychique que ce soit dans l'histoire actuelle ou au cours de l'anamnèse systématique. Il fa[llait] à plusieurs reprises le recentrer mais sans grand succès » (p. 3 et 6). Ceci dit, en dépit du caractère irritable et agacé du demandeur qui ne comprenait pas les raisons de sa convocation à cette expertise (p. 6), celui-ci a néanmoins collaboré ; l'expert a ainsi pu obtenir des renseignements sur les antécédents médicaux du demandeur (p. 6), sur ses plaintes au moment de l'évaluation, et il a pu poser le diagnostic sur la base des signes cliniques. Ainsi, l'expert s'est déterminé sur le cas du demandeur en toute connaissance de cause. En particulier, le demandeur faisait état d'un sentiment de colère, d'une baisse de son moral et de troubles du sommeil consécutivement à un conflit sur son lieu de travail (p. 3). Il se plaignait d'une fluctuation de son humeur et d'une baisse de son énergie et de l'estime de soi. Il se sentait humilié (p. 4 et 8). Toutefois, l'expert n'a pas observé de troubles du cours de la pensée, qui était fluide et dont le contenu était qualitativement normal (p. 6). Sur le plan émotionnel, le demandeur présentait une irritabilité, une tension, une discrète agitation anxieuse et une discrète dysphorie, sans abaissement notable de l'humeur en faveur d'un état dépressif, ni asthénie physique ou psychique. Le demandeur, qui se montrait assez tonique (p. 8) et dont l'appétit était conservé (p. 4), verbalisait essentiellement un sentiment d'injustice et de déception de ne pas avoir pu être entendu en ce qui concerne ses doléances dans le cadre de son travail (p. 7). L'expert a exclu un trouble de la personnalité au sens d'une classification diagnostique reconnue. Il n'a pas non plus mis en évidence de troubles des fonctions intellectuelles supérieures. Il n'y avait pas de troubles de la vigilance, de l'attention ou de la concentration. Le demandeur était parfaitement orienté dans le temps et l'espace, sans troubles mnésiques ni troubles du langage. La perception de soi et des autres n'était pas altérée. Il en allait de même de la capacité de jugement et du contrôle des affects (p. 7). L'expert, qui a étudié le rapport du médecin traitant du 20 décembre 2021, a écarté, au jour de l'expertise, les diagnostics d'état dépressif moyen et d'anxiété généralisée, en l'absence de critères majeurs et mineurs d'un état dépressif au sens du système de classification reconnu CIM-10 et faute d'éléments en faveur d'une anxiété généralisée. Il a également exclu un trouble de l'adaptation au regard du fonctionnement de l'assuré et de la préservation de ses capacités personnelles et sociales (p. 8). Le demandeur, en effet, qui n'avait jamais été hospitalisé en milieu psychiatrique (p. 7), qui était moins angoissé depuis qu'il n'était plus en contact avec ses collègues (p. 4), fréquentait des spectacles humoristiques, pratiquait une activité sportive (il faisait régulièrement du vélo et la natation), assumait ses tâches administratives, faisait son ménage et ses courses, préparait ses repas, bricolait, regardait la télévision, et rencontrait souvent ses parents et ses amis. Il s'était également dernièrement engagé en tant que bénévole en faveur des personnes atteintes d'autisme (p. 4-6). Dans son rapport du 1 er juillet 2022, le psychiatre traitant, qui s'est déterminé sur l'expertise, a retranscrit les données personnelles, familiales et socioprofessionnelles du demandeur (p. 1-2). Il a ensuite évoqué le conflit professionnel à l'origine de l'atteinte à la santé du demandeur et fait état des symptômes que ce dernier présentait lors du début du suivi au cabinet en octobre 2021 (état de choc émotionnel, fatigabilité invalidante, grande labilité émotionnelle, fort sentiment de colère, tristesse, crises d'angoisse avec crises de pleurs plusieurs fois par jour, insomnie, ruminations négatives, cauchemars récurrents, idées de dévalorisation de soi, présences d'idées noires, isolement social marqué ; p. 2). Le psychiatre traitant a souligné que l'absence de contact entre le demandeur et sa fille depuis la naissance de celle-ci (qui vivait en Espagne) provoquait chez celui-ci une douleur aiguë (p. 2). Ce fait était connu de l'expert psychiatre (p. 4 et 6) qui avait mentionné que le demandeur avait présenté une symptomatologie dépressive dans le contexte de la séparation avec son épouse en 1998 pour laquelle il avait suivi un traitement pendant deux à trois ans (p. 6). En tout cas, bien que le demandeur ait des idées de culpabilité en lien avec l'absence de contact avec sa fille (rapport d'expertise p. 4), il n'en demeure pas moins que ces événements (séparation d'avec l'épouse, absence de contact avec sa fille) ne l'ont pas empêché d'entamer une reconversion professionnelle comme socio-éducateur puis de travailler pendant treize ans auprès de son dernier employeur (p. 5). Le psychiatre traitant a persisté à retenir les diagnostics de trouble anxieux généralisé et d'épisode dépressif moyen. Dans une appréciation du 16 septembre 2022, le médecin-conseil de la défenderesse, un spécialiste de la discipline médicale ici pertinente, s'est prononcé sur le rapport du psychiatre traitant du 1 er juillet 2022, en expliquant que le premier diagnostic n'était pas seulement caractérisé par un « sentiment de nervosité » mais qu'il était défini avant tout par la présence « d'anxiété et soucis excessifs (attente avec appréhension) survenant la plupart du temps durant au moins six mois concernant un certain nombre d'événements ou d'activités ». À cet égard, le médecin-conseil constatait que le psychiatre traitant évoquait seulement un « sentiment d'un avenir bouché » et une « révolte ressentie en lien avec [l]es problèmes de santé et sur l'avenir ». Or, cela ne correspondait pas à la notion d'une « attente avec appréhension ». En ce qui concerne le second diagnostic, le psychiatre traitant décrivait une thymie abaissée, une perturbation émotionnelle, des pensées anxieuses, un sentiment de révolte, des crises d'angoisse, des craintes et des peurs, un sentiment de stress et de panique, un sentiment presque permanent de nervosité, et une irritabilité. À ce propos, le médecin-conseil relevait que cette description était difficilement compatible avec la notion de dépression « majeure » de l'humeur ou avec le critère d'une humeur déprimée la plupart des jours et la plupart de la journée selon la définition du DSM-5. Elle correspondait en revanche à « l'humeur fluctuante » rapportée par l'expert psychiatre. Le médecin-conseil ajoutait que le psychiatre traitant ne citait aucun exemple concret s'agissant du critère cardinal alternatif d'une anhédonie dont il faisait état en employant les termes de « perte de plaisir dans des activités habituellement agréables », alors que l'expert psychiatre avait décrit plusieurs activités précises dans lesquelles le demandeur s'investissait encore avec intérêt voire plaisir. Au sujet des cognitions, l'expert et le psychiatre traitant s'accordaient pour dire qu'elles étaient caractérisées par une sentiment de « frustration » et d' « injustice », qui n'était toutefois pas congruent avec une dépression majeure de l'humeur. La perte de confiance « en l'employeur », en « l'être humain et au système » que relatait le psychiatre traitant était, d'après le médecin-conseil, une attribution externe. Le sentiment de « culpabilité » rapporté concernait l'absence de contact avec la fille et rien n'indiquait que ce sentiment fût excessif ou inapproprié. Le psychiatre traitant évoquait encore un « sentiment de honte » concernant l'état psychique. Or, cela était explicitement exclu du critère par le DSM-5. Celui-ci faisait également état d'une « sensation d'échecs » sans préciser si elle était excessive ou inappropriée. Au final, le médecin-conseil constatait l'absence de description d'idées négatives de soi qui soient caractéristiques d'une dépression majeure de l'humeur alors que ce critère était « presque toujours présent » et « même dans les formes légères » selon la CIM-10. Le médecin-conseil relevait encore que les « idées noires » ne constituaient pas un signe psychiatrique précis, qu'il n'était fait aucune mention d'un changement d'appétit ou de poids, que les insomnies survenaient « parfois » et non pas la plupart des nuits, et qu'il n'y avait pas de ralentissement ou d'agitation sur le plan psychomoteur. En somme, il excluait tout trouble dépressif de quelque intensité que ce se soit, tout en soulignant que le traitement antidépresseur prescrit à sa dose thérapeutique minimale après un an de suivi spécialisé était incohérent avec la prise en charge des diagnostics proposés par le psychiatre traitant. L'on ajoutera que le psychiatre traitant indiquait que les crises d'angoisse avaient considérablement diminué grâce à la psychothérapie et au traitement prescrit (p. 4), c'est-à-dire qu'il admettait une amélioration de la situation médicale, tout en reconnaissant, de manière contradictoire, une totale incapacité de travail (p. 7). Le psychiatre traitant mettait également en évidence que l'état de santé psychique du demandeur impactait son fonctionnement quotidien et que son réseau social était très restreint et ses ressources internes pauvres (p. 5 et 7). Or, comme exposé supra , au vu des déclarations mêmes du demandeur lors de l'expertise, son contexte familial et social lui procurait des ressources mobilisables et l'atteinte à la santé invoquée ne le limitait pas dans l'exécution de ses travaux habituels puisqu'il était parfaitement autonome dans les fonctions de la vie quotidienne. Si à la suite d'un accident survenu en juillet 2021 ayant entrainé une atteinte au genou droit, le demandeur a été empêché de faire des activités physiques qu'il aimait pratiquer auparavant, il n'empêche qu'à l'époque de l'expertise, il n'avait pas prétendu avoir complètement cessé le sport. Pour ces motifs, le rapport du psychiatre traitant ne peut se voir reconnaître une valeur probante, à l'inverse de celui de l'expert psychiatre qui a effectué une analyse objective du cas du demandeur en concluant que l'activité habituelle d'éducateur auprès d'un autre employeur était tout à fait envisageable à plein temps. Le rapport d'expertise emporte donc la conviction d'autant plus que le demandeur, représenté durant la période ici litigieuse du 1 er septembre au 31 décembre 2022 d'abord par le syndicat Unia puis par un avocat depuis le 21 décembre 2022 (son dossier pièce 0), ne s'est pas annoncé à l'assurance-invalidité, ce qui entre en contradiction avec l'allégation selon laquelle il était totalement incapable d'exercer la moindre activité lucrative. Quant au reproche selon lequel l'expertise était de durée brève, en l'occurrence 1h45 environ (p. 6), c'est le lieu de rappeler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9C_722/2018 du 12 décembre 2018 consid. 4.2).</w:t>
      </w:r>
    </w:p>
    <w:p>
      <w:r>
        <w:rPr>
          <w:b/>
        </w:rPr>
        <w:t>E. 7.5</w:t>
      </w:r>
    </w:p>
    <w:p>
      <w:r>
        <w:t>En définitive, le demandeur n'a pas prouvé avoir présenté une incapacité de travail totale du 1 er septembre au 31 décembre 2022. Au vu de ce qui précède, la chambre de céans disposant de tous les éléments nécessaires pour statuer sur le droit éventuel du demandeur à des indemnités journalières, il est superflu, par appréciation anticipée des preuves (ATF 143 III 297 consid. 9.3.2), d'organiser une audience de débats et de donner suite aux mesures d'instructions sollicitées par celui-ci (dans ce sens : ATAS/408/2024 du 3 juin 2024 consid. 10 ; ATAS/1016/2023 du 19 décembre 2023 consid. 9.2.2).</w:t>
      </w:r>
    </w:p>
    <w:p>
      <w:r>
        <w:rPr>
          <w:b/>
        </w:rPr>
        <w:t>E. 8</w:t>
      </w:r>
    </w:p>
    <w:p>
      <w:r>
        <w:t>La demande en paiement est dès lors rejetée.</w:t>
      </w:r>
    </w:p>
    <w:p>
      <w:r>
        <w:rPr>
          <w:b/>
        </w:rPr>
        <w:t>E. 9</w:t>
      </w:r>
    </w:p>
    <w:p>
      <w:r>
        <w:t>Pour le surplus, il n'est pas alloué de dépens à la charge du demandeur (art. 22 al. 3 let. b de la loi d'application du code civil suisse et d’autres lois fédérales en matière civile du 11 octobre 2012 [LaCC - E 1 05]) ni perçu de frais judiciaires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