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A/2114/2024 vom 25. Juni 2025</w:t>
      </w:r>
    </w:p>
    <w:p>
      <w:r>
        <w:t>GE Cour de justice, 2025-06-25, FR</w:t>
      </w:r>
    </w:p>
    <w:p>
      <w:r>
        <w:rPr>
          <w:b/>
        </w:rPr>
        <w:t xml:space="preserve">Quelle: </w:t>
      </w:r>
      <w:r>
        <w:t>https://mcp.opencaselaw.ch/entscheid/ge_gerichte_A_2114_2024</w:t>
      </w:r>
    </w:p>
    <w:p>
      <w:r>
        <w:t>FR: GE_GERICHTE A/2114/2024 du 25 juin 2025</w:t>
      </w:r>
    </w:p>
    <w:p>
      <w:r>
        <w:t>IT: GE_GERICHTE A/2114/2024 del 25 giugno 2025</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56ss LPGA, art. 62ss et 89B de la loi sur la procédure administrative du 12 septembre 1985 [LPA - E 5 10]).</w:t>
      </w:r>
    </w:p>
    <w:p>
      <w:r>
        <w:rPr>
          <w:b/>
        </w:rPr>
        <w:t>E. 3</w:t>
      </w:r>
    </w:p>
    <w:p>
      <w:r>
        <w:t>Le litige porte sur le bien-fondé du refus de l’intimé d’octroyer à la recourante la remise de l’obligation de restituer la somme de CHF 120’677.65, au motif que la condition de la bonne foi n’était pas remplie.</w:t>
      </w:r>
    </w:p>
    <w:p>
      <w:r>
        <w:rPr>
          <w:b/>
        </w:rPr>
        <w:t>E. 4.1</w:t>
      </w:r>
    </w:p>
    <w:p>
      <w:r>
        <w:t>Les travailleurs dont la durée normale du travail est réduite ou l'activité suspendue ont droit à l'indemnité en cas de RHT lorsqu'ils remplissent les conditions décrites à l'art. 31 al. 1 let. a à d LACI. Selon l'art. 31 al. 3 let. a LACI, n'ont notamment pas droit à l'indemnité les travailleurs dont la RHT ne peut pas être déterminée ou dont l'horaire de travail n'est pas suffisamment contrôlable. Aux termes de l'art. 46b de l’ordonnance sur l'assurance-chômage obligatoire et l'indemnité en cas d'insolvabilité du 31 août 1983 (ordonnance sur l’assurance-chômage, OACI - RS 837.02) la perte de travail n'est suffisamment contrôlable que si le temps de travail est contrôlé par l'entreprise (al. 1) ; l'employeur conserve les documents relatifs au CTT pendant cinq ans (al. 2). Selon la let. B34 du bulletin LACI RHT, pour que l’horaire de travail et, par conséquent, les heures effectivement accomplies soient suffisamment contrôlables, il faut que l’entreprise dispose d’un système d’enregistrement du temps de travail de tous les travailleurs pour lesquels elle demande la RHT. Ce dernier (p. ex. cartes de timbrage, rapports sur les heures) doit pouvoir rendre compte quotidiennement des heures de travail fournies, y compris des éventuelles heures supplémentaires, de la perte de travail due aux conditions économiques, ainsi que de tout autre type d’absences telles que les vacances, les absences en cas de maladie, d’accident ou de service militaire. L’info-Service « L’indemnité en cas de RHT », la plateforme d’accès aux services en ligne (eServices ; art. 83 al. 1bis let. d, LACI), le formulaire 716.300 « Préavis de RHT », de même que les décisions des autorités cantonales rendent clairement les employeurs attentifs à l’obligation pour les entreprises de procéder à un CTT.</w:t>
      </w:r>
    </w:p>
    <w:p>
      <w:r>
        <w:rPr>
          <w:b/>
        </w:rPr>
        <w:t>E. 4.2</w:t>
      </w:r>
    </w:p>
    <w:p>
      <w:r>
        <w:t>Selon l’art. 95 al. 2 LACI, la caisse exige de l’employeur la restitution de l’indemnité allouée en cas de RHT ou d’intempéries quand cette indemnité a été versée à tort. Lorsque l’employeur est responsable de l’erreur, il ne peut exiger de ses travailleurs le remboursement de l’indemnité. 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 Selon le Bulletin LACI RCRE / C2, il y a lieu de différencier l'ignorance, par le bénéficiaire, du fait qu'il n'avait pas droit aux prestations (ignorance de l’illicéité), du fait que l’assuré, en faisant preuve de l’attention que l’on pouvait exiger de lui, compte tenu des circonstances, aurait pu et dû reconnaître le vice juridique existant. En fait, l’assuré ne doit s’être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l'intéressé peut invoquer sa bonne foi lorsque l'acte ou l'omission fautifs ne constituent qu'une violation légère de l'obligation d'annoncer ou de renseigner (ATF 112 V 97 consid. 2c et références ; DTA 1992 no 7 p. 103 consid. 2b). Un comportement fautif a trait le plus souvent à la violation de l'obligation d'annoncer ou d'informer, mais aussi au fait de ne pas se renseigner auprès de l'administration (DTA 1998 no 41 p. 234 consid. 4b et références). La bonne foi doit exister au moment de la perception des indemnités. Néanmoins, un assuré ne peut se prévaloir de la bonne foi au moment de la perception de l’indemnité, lorsqu’il devait s’attendre à une suspension de son droit aux indemnités de chômage en raison d’un comportement qu’il savait fautif. Cela est particulièrement le cas lorsqu’une sanction, pour des raisons inhérentes à l’instruction, ne peut intervenir que dans une période de contrôle ultérieure (p. ex. recherches de travail insuffisantes ou absence à un entretien de conseil). Sous let. B36, le nulletin LACI RHT précise que s’il s’avère ultérieurement, lors d’un contrôle chez l’employeur, que la perte de travail n’aurait pas dû être prise en considération parce qu’incontrôlable, faute de système de contrôle approprié, le SECO exigera le remboursement de l’indemnité versée à tort. L'employeur ne pourra pas se prévaloir de sa bonne foi du fait que l'indemnité lui a été versée sans réserve à plusieurs reprises sur une longue période et ne pourra se soustraire à la décision de restitution (arrêt du Tribunal fédéral 8C_469/2011 du 29 décembre 2011). L’employeur ne pourra pas non plus invoquer sa bonne foi pour demander une remise de l’obligation de restituer les prestations. La bonne foi n'a pas été reconnue dans un cas où les documents nécessaires au CTT avaient été jetés trop tôt (arrêts du Tribunal fédéral C 223/00 du 5 février 2001 consid. 3a et C 162/03 du 24 mars 2004) et s’agissant d’une entreprise requérant des indemnités de RHT qui ne disposait d'aucun contrôle systématique du temps de travail (arrêts du Tribunal fédéral 8C_120/2012 du 11 juin 2012 et 8C_312/2012 du 19 juin 2012).</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5</w:t>
      </w:r>
    </w:p>
    <w:p>
      <w:r>
        <w:t>En l’espèce, pour déterminer si la condition de la bonne foi est réalisée, il faut en particulier examiner si, en faisant preuve de la vigilance exigible, la recourante aurait pu constater que les indemnités RHT reçues d’avril à juin 2020 et en mai 2021 ne reposaient pas sur une base juridique.</w:t>
      </w:r>
    </w:p>
    <w:p>
      <w:r>
        <w:rPr>
          <w:b/>
        </w:rPr>
        <w:t>E. 5.1</w:t>
      </w:r>
    </w:p>
    <w:p>
      <w:r>
        <w:t>L’intimé a retenu dans la décision querellée que lors du contrôle, il n’avait pas été possible de vérifier la véracité et l’ampleur des heures perdues pour cette période, l’entreprise n’ayant pas pu présenter de documents provenant d’un système de contrôle pour ces mois. S’il est exact que la responsable d’agence présente lors du contrôle n’a pas pu présenter les CTT pour les mois d’avril à juin 2020 et de mai 2021, les CTT pour les mois d’avril à juin 2020 ont été transmis aux contrôleurs – certes après le délai fixé au jour même du contrôle au plus tard à 23h59 – mais par courriels des 18 et 20 janvier 2023, selon ce qui ressort du ch. 5 du procès-verbal de contrôle du 7 juin 2023. La recourante a expliqué, de façon convaincante, que sa responsable d’agence n’avait pas été en mesure de donner toutes les pièces requises lors du contrôle, car elle venait de prendre ses fonctions et qu’elle n’était pas dans la société au moment de la pandémie. Le fait que le délai octroyé pour produire les CTT manquants au jour même avant minuit n’ait pas été respecté ne suffit pas à retenir que la condition de la bonne foi n’est pas remplie, dès lors que ce délai était extrêmement court et que la recourante a transmis rapidement ces documents, soit dans les deux à quatre jours suivants. Les formulaires type de préavis et de décompte informent les employeurs qu’ils doivent effectuer un CTT auprès des travailleurs touchés par une RHT, mais ils ne précisent pas que ceux-ci doivent être en mesure de présenter les CTT « au moment du contrôle », ni même le jour du contrôle. Certes, l’intimé a fait valoir que si le SECO acceptait de nouveaux documents présentés après la date du contrôle, les vérifications effectuées lors de celui-ci seraient inutiles, dès lors que des manipulations ultérieures et donc d’éventuels abus ne seraient plus détectables. La chambre de céans considère toutefois que ce risque ne justifie pas une pratique aussi stricte du SECO et qu’il convient de tenir compte des circonstances du cas d’espèce, à tout le moins dans le cadre de l’examen de la bonne foi. Par ailleurs, le fait que la recourante n’a pas pu produire le CTT pour le seul mois de mai 2021 ne suffit pas à retenir qu’elle n’avait pas un système de CTT suffisant, étant relevé qu’elle a fourni des CTT pour douze mois sur treize.</w:t>
      </w:r>
    </w:p>
    <w:p>
      <w:r>
        <w:rPr>
          <w:b/>
        </w:rPr>
        <w:t>E. 5.2</w:t>
      </w:r>
    </w:p>
    <w:p>
      <w:r>
        <w:t>L’intimé a fait valoir que le système de CTT de la recourante n’était pas fiable, car une nouvelle version des CTT transmise dans les jours suivants le contrôle pour les mois de juillet 2020 à avril 2021 ne correspondait pas avec la version obtenue le jour du contrôle, à l’exception du mois d’août 2020. Dans la mesure où la seconde version correspondait à celle utilisée pour établir les décomptes transmis à la caisse de chômage, alors que celle mise à disposition lors du contrôle correspondait aux heures réellement travaillées, seule cette dernière était plausible. Dans la mesure où les documents remis par courriels n’étaient pas crédibles, il n’en n’avait pas été tenu compte, période d’avril à juin 2020 comprise. La recourante a expliqué que la responsable d’agence avait remis aux contrôleurs l’intégralité des plannings et fiches du temps de travail dont elle disposait. Malheureusement, une partie de ceux-ci ne correspondait pas aux planning des heures réellement effectuées mais aux planning des heures usuelles pour une période normale que la société mettait en place de manière standardisée avant de les mettre à jour. La recourante avait transmis dans les jours suivants les plannings effectifs pour les mois d’avril à juin 2020, en précisant qu’ils différaient de ceux qui avaient été implémentés à la base. La chambre de céans considère que les explications données par la recourante sont convaincantes et corroborées par les pièces du dossier. Il ressort en effet de ce dernier que les CTT transmises dans les jours suivants le contrôle forment un tout cohérent, notamment parce qu’ils mentionnent tous les mois en lettres en haut à gauche. Ils concernent la période courant d’avril 2020 à avril 2021 et font état d’un nombre d’heures plus bas et moins régulier que les CTT transmises lors du contrôle pour la même période. Il est ainsi rendu vraisemblable que ces derniers étaient bien des plannings des heures usuelles pour une période normale que la recourante mettait en place de manière standardisée avant de les modifier pour tenir compte des circonstances effectives, alors que la seconde version des CTT transmise correspond aux plannings mis à jour et tenant compte de la diminution des heures de présence effectives. Ce sont logiquement ces derniers qui ont été transmis à la caisse pour justifier les indemnités RHT. Le fait que la décision de restitution du SECO, qui en a décidé autrement, soit entrée en force ne saurait lier la chambre de céans sur la question de la bonne foi, qui n’a pas été tranchée par le SECO.</w:t>
      </w:r>
    </w:p>
    <w:p>
      <w:r>
        <w:rPr>
          <w:b/>
        </w:rPr>
        <w:t>E. 5.3</w:t>
      </w:r>
    </w:p>
    <w:p>
      <w:r>
        <w:t>L’intimé a fait valoir que certains formulaires de « Demandes et décomptes d’indemnités en cas de RHT » contenaient des erreurs. La chambre de céans relève à cet égard que ces erreurs ont été admises par la recourante et que si elles justifiaient peut-être une restitution d’une partie des indemnités versées, elles ne suffisent pas à retenir une négligence grave ni une intention malicieuse de la recourante. En effet, ces erreurs étaient dues à des modifications dans la situation des collaborateurs concernés qui n’avaient pas été prises en compte, ce qui ne procède pas d’une intention malicieuse ni d’une négligence grave. S’agissant en particulier de la collaboratrice pour laquelle la recourante aurait touché indûment les RHT, il ressort du procès-verbal de contrôle que le formulaire « Demande et décompte d’indemnité en cas de RHT » du mois de mars 2021 a été établi en intégrant le salaire et les heures à effectuer d’L______, alors que celle-ci n’avait plus droit aux RHT dès le lendemain de son licenciement immédiat qui avait eu lieu le 20 mars 2021. Cette omission apparaît d’une gravité relative, puisqu’il n’est pas contestable que cette collaboratrice a travaillé une grande partie du mois en question. Il est ainsi établi que la recourante disposait d’un système de CTT suffisamment fiable. On peut lui reprocher une négligence, dans la mesure où son organisation n’a pas permis à la responsable d’agence de produire les CTT correctement et sans délai à la demande des contrôleurs. Ce manquement apparaît d’une gravité relative et la négligence de la recourante doit en conséquence être qualifiée de légère. Il en résulte que la condition de la bonne foi est remplie.</w:t>
      </w:r>
    </w:p>
    <w:p>
      <w:r>
        <w:rPr>
          <w:b/>
        </w:rPr>
        <w:t>E. 6</w:t>
      </w:r>
    </w:p>
    <w:p>
      <w:r>
        <w:t>Le recours doit en conséquence être admis, la décision querellée annulée et la cause renvoyée à l’intimé pour examen de la seconde condition de la remise, la situation difficile. Pour le surplus,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