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A/2114/2016 vom 17. Oktober 2016</w:t>
      </w:r>
    </w:p>
    <w:p>
      <w:r>
        <w:t>GE Cour de justice, 2016-10-17, FR</w:t>
      </w:r>
    </w:p>
    <w:p>
      <w:r>
        <w:rPr>
          <w:b/>
        </w:rPr>
        <w:t xml:space="preserve">Quelle: </w:t>
      </w:r>
      <w:r>
        <w:t>https://mcp.opencaselaw.ch/entscheid/ge_gerichte_A_2114_2016</w:t>
      </w:r>
    </w:p>
    <w:p>
      <w:r>
        <w:t>FR: GE_GERICHTE A/2114/2016 du 17 octobre 2016</w:t>
      </w:r>
    </w:p>
    <w:p>
      <w:r>
        <w:t>IT: GE_GERICHTE A/2114/2016 del 17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17.10.2016 A/2114/2016</w:t>
      </w:r>
    </w:p>
    <w:p>
      <w:r>
        <w:t>A/2114/2016 ATAS/827/2016 du 17.10.2016 ( AI ) , RETIRE rÉpublique et canton de genÈve POUVOIR JUDICIAIRE A/2114/2016 ATAS/827/2016 COUR DE JUSTICE Chambre des assurances sociales Arrêt du 17 octobre 2016 10 ème Chambre En la cause Monsieur A______, domicilié à ANIERES recourant contre OFFICE DE L'ASSURANCE-INVALIDITE DU CANTON DE GENEVE, Service juridique, sis rue des Gares 12, GENEVE intimé Vu la décision du 24 mai 2016 par laquelle l’office de l’assurance-invalidité du canton de Genève (ci-après : l’OAI ou l’intimé) a indiqué à Monsieur A______ (ci-après : l’assuré ou le recourant) que la demi-rente qu’il percevait depuis 1991 était supprimée avec effet rétroactif au 1 er juin 2012 au motif qu’il n’avait pas rempli ses obligations de renseigner l’OAI quant à sa situation personnelle, notamment en ne l’informant pas qu’il avait repris une activité professionnelle dès le 1 er juin 2012 ; Que par ailleurs, il était tenu de restituer les prestations indûment perçues, ce qui lui serait notifié par une décision séparée ; Vu le recours du 21 juin 2016, par lequel le recourant explique notamment qu’il a cru de bonne foi que puisqu’il touchait une demi-rente d’invalidité, il avait le droit de travailler à 50 % ; que par ailleurs il était faux de dire qu’il travaillait à plein temps depuis juin 2012, alors que ce n’est le cas que depuis début juillet 2015 ; Vu la réponse du 21 juillet 2016 de l’intimé qui persiste dans sa décision ; Vu le courrier du 31 août 2016 du recourant; Vu l'audience de comparution personnelle des parties du 17 octobre 2016, lors de laquelle le recourant a déclaré retirer son recours au vu des explications qui lui étaient fournies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