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A/2113/2018 vom 7. August 2018</w:t>
      </w:r>
    </w:p>
    <w:p>
      <w:r>
        <w:t>GE Cour de justice, 2018-08-07, FR</w:t>
      </w:r>
    </w:p>
    <w:p>
      <w:r>
        <w:rPr>
          <w:b/>
        </w:rPr>
        <w:t xml:space="preserve">Quelle: </w:t>
      </w:r>
      <w:r>
        <w:t>https://mcp.opencaselaw.ch/entscheid/ge_gerichte_A_2113_2018</w:t>
      </w:r>
    </w:p>
    <w:p>
      <w:r>
        <w:t>FR: GE_GERICHTE A/2113/2018 du 7 août 2018</w:t>
      </w:r>
    </w:p>
    <w:p>
      <w:r>
        <w:t>IT: GE_GERICHTE A/2113/2018 del 7 agosto 2018</w:t>
      </w:r>
    </w:p>
    <w:p>
      <w:pPr>
        <w:pStyle w:val="Heading2"/>
      </w:pPr>
      <w:r>
        <w:t>Erwägungen</w:t>
      </w:r>
    </w:p>
    <w:p>
      <w:r>
        <w:rPr>
          <w:b/>
        </w:rPr>
        <w:t>E. 2</w:t>
      </w:r>
    </w:p>
    <w:p>
      <w:r>
        <w:t>ème section dans la cause Monsieur A______ contre PRISON DE CHAMP-DOLLON EN FAIT 1) Le 20 mai 2018, Monsieur A______, détenu à la prison de Champ-Dollon (ci-après : la prison), a fait l’objet d’une sanction de trois jours de cellule forte pour violence physique envers un codétenu, le personnel de surveillance ayant constaté que M. A______ et son compagnon de cellule avaient engagé une bagarre. La décision était déclarée exécutoire nonobstant recours, et a été entièrement exécutée.![endif]&gt;![if&gt; 2) Par acte posté le 18 juin 2018, M. A______ a interjeté recours auprès de la chambre administrative de la Cour de justice (ci-après : la chambre administrative), concluant à l'annulation de la sanction précitée. Il contestait les faits qui lui étaient reprochés.![endif]&gt;![if&gt; 3) Le 20 juillet 2018, la prison a conclu à ce que la cause soit déclarée sans objet. M. A______ avait été libéré à titre conditionnel le 19 juillet 2018, à la suite d’un jugement du Tribunal d'application des peines et des mesures (ci-après : TAPEM) du 10 juillet 2018.![endif]&gt;![if&gt; 4) Sur ce, la cause a été gardée à juger.![endif]&gt;![if&gt; EN DROIT 1) La chambre de céans examine d’office et librement la recevabilité des recours qui lui sont soumis ( ATA/555/2018 du 5 juin 2018 consid. 1).![endif]&gt;![if&gt; 2) 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3 ème éd., 2011, p. 748 n. 5.7.2.3 ; Thierry TANQUEREL, Manuel de droit administratif, 2011,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 ATA/1272/2017 précité consid. 2c ; ATA/29/2017 du 17 janvier 2017 consid. 2d ; ATA/118/2015 du 27 janvier 2015 consid. 2c ; ATA/510/2014 du 1 er juillet 2014 consid. 3b). 3) En l'occurrence, le recourant a été libéré conditionnellement et n'est plus détenu dans un établissement pénitentiaire genevois ou concordataire.![endif]&gt;![if&gt; Aucun élément du dossier ne laisse à penser que celui-ci serait susceptible d'être incarcéré à nouveau. En application de la jurisprudence précitée et constante de la chambre de céans, qui peut s'appliquer mutatis mutandis à la présente cause, il n'y a dès lors aucune raison de passer outre l'exigence de l'intérêt actuel ( ATA/555/2018 précité consid. 2f ; ATA/1272/2017 précité consid. 3 ; ATA/594/2017 du 23 mai 2017 ; ATA/29/2017 du 17 janvier 2017 ; ATA/308/2016 du 12 avril 2016 et les références citées). 4) Vu ce qui précède, le recours sera déclaré irrecevable.![endif]&gt;![if&gt;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