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A/2113/2014 vom 31. März 2015</w:t>
      </w:r>
    </w:p>
    <w:p>
      <w:r>
        <w:t>GE Cour de justice, 2015-03-31, FR</w:t>
      </w:r>
    </w:p>
    <w:p>
      <w:r>
        <w:rPr>
          <w:b/>
        </w:rPr>
        <w:t xml:space="preserve">Quelle: </w:t>
      </w:r>
      <w:r>
        <w:t>https://mcp.opencaselaw.ch/entscheid/ge_gerichte_A_2113_2014</w:t>
      </w:r>
    </w:p>
    <w:p>
      <w:r>
        <w:t>FR: GE_GERICHTE A/2113/2014 du 31 mars 2015</w:t>
      </w:r>
    </w:p>
    <w:p>
      <w:r>
        <w:t>IT: GE_GERICHTE A/2113/2014 del 31 marzo 2015</w:t>
      </w:r>
    </w:p>
    <w:p>
      <w:pPr>
        <w:pStyle w:val="Heading2"/>
      </w:pPr>
      <w:r>
        <w:t>Erwägungen</w:t>
      </w:r>
    </w:p>
    <w:p>
      <w:r>
        <w:rPr>
          <w:b/>
        </w:rPr>
        <w:t>E. 2</w:t>
      </w:r>
    </w:p>
    <w:p>
      <w:r>
        <w:t>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2002, et, après le 1er janvier 2003,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w:t>
      </w:r>
    </w:p>
    <w:p>
      <w:r>
        <w:t>Le litige porte sur le droit de la recourante à des prestations de l’assurance-invalidité, singulièrement sur la prise en considération d’atteintes à la santé antérieures à son arrivée en Suisse.</w:t>
      </w:r>
    </w:p>
    <w:p>
      <w:r>
        <w:rPr>
          <w:b/>
        </w:rPr>
        <w:t>E. 4</w:t>
      </w:r>
    </w:p>
    <w:p>
      <w:r>
        <w:t>À titre liminaire, on rappellera que l’intimé, dans sa décision du 1 er octobre 2001, confirmée par la Commission cantonale de recours, dans son jugement du 27 mai 2003, avait refusé tout droit à des prestations au motif que le début de l’atteinte à la santé de la recourante remontait au mois de novembre 1991 et que lors de la survenance de l’invalidité un an plus tard, soit en novembre 1992, elle n’était pas assurée à l’AVS/AI. En effet, la date de son arrivée en Suisse remontait au 20 janvier 1993. a) Selon l’art. 6 al. 1 LAI, dans sa teneur en vigueur jusqu’au 31 décembre 2000, les ressortissants suisses, les étrangers et les apatrides avaient droit aux prestations conformément aux dispositions de la LAI, s’ils étaient assurés lors de la survenance de l’invalidité. Étaient notamment assurées les personnes physiques qui avaient leur domicile en Suisse ou exerçaient en Suisse une activité lucrative (art. 1 er aLAI en relation avec l’art. 1a al. 1 let. a et b de la loi fédérale sur l’assurance-vieillesse et survivants du 20 décembre 1946 [LAVS ; RS 831.10] ; arrêt du Tribunal fédéral des assurances I 404/01 du 22 octobre 2001 consid. 1a). L’application de l’art. 6 al. 1 précité nécessitait donc l’examen de deux conditions : la survenance de l’invalidité et la réalisation de la clause d’assurance à cette date. b) Selon l’art. 6 al. 2 LAI, dans sa teneur en vigueur jusqu’au 31 décembre 1996, les étrangers et les apatrides n’avaient droit aux prestations (sous réserve de l’art. 9 al. 3 LAI – non pertinent en l’espèce) qu’aussi longtemps qu’ils conservaient leur domicile civil en Suisse et que si, lors de la survenance de l’invalidité, ils comptaient au moins dix années entières de cotisations ou quinze années ininterrompues de domicile en Suisse. Demeuraient réservées les dispositions dérogatoires des conventions bilatérales de sécurité sociales conclues par la Suisse avec un certain nombre d’Etats pour leurs ressortissants respectifs (ATF 126 V 5 consid. 1a). c) Selon l’art. 36 al. 1 LAI, dans sa teneur en vigueur jusqu’au 31 décembre 2007, les assurés devaient compter, lors de la survenance de l’invalidité, au moins une année entière de cotisations pour pouvoir prétendre à une rente ordinaire d’invalidité. d) S’il n’existe pas de convention de sécurité sociale entre la Suisse et le Maroc, il en va différemment des relations entre la Suisse et le Portugal. Lors de la survenance de l’invalidité en novembre 1992, l’Accord entre la Suisse et la Communauté européenne et ses États membres sur la libre circulation des personnes du 21 juin 1999 (ALCP ; RS 0.142.112.681) n’était pas encore entré en vigueur. On ignore, en l’espèce, si la recourante, marocaine au moment de la survenance de l’accident du mois de novembre 1991, avait déjà acquis la nationalité portugaise un an plus tard. Même si tel était le cas, elle n’en tirerait aucun avantage. En effet : l’art. 2 al. 1 de la Convention de sécurité sociale entre la Suisse et le Portugal, du 11 septembre 1975, entrée en vigueur le 1 er mars 1977 (RS 0.831.109.654.1) dispose que les ressortissants de l’une des parties contractantes, ainsi que les membres de leur famille et les survivants dont les droits dérivent desdits ressortissants, sont soumis aux obligations et admis au bénéfice de la législation de l’autre partie dans les mêmes conditions que les ressortissants de cette partie ou les membres de leur famille et les survivants dont les droits dérivent desdits ressortissants, sauf exceptions. Dans la mesure où ladite convention prévoit l’égalité de traitement entre les ressortissants suisses et les ressortissants portugais, il y a lieu d’appliquer l’art. 6 al. 1 LAI dans sa teneur en vigueur jusqu’au 31 décembre 2000, disposition qui prévoyait que la recourante devait être assurée lors de la survenance de son invalidité. À la date de la survenance de son invalidité en novembre 1992, la recourante n’était pas domiciliée en Suisse et n’exerçait pas non plus d’activité lucrative dans ce pays. Elle n’avait donc pas la qualité d’assurée au sens des art. 1 er aLAI et 1a al. 1 let. a et b LAVS. e) Selon la jurisprudence, l'autorité de la chose jugée (formelle et matérielle) de décisions portant sur des prestations durables d'assurance sociale, soit notamment des rentes de l'assurance-invalidité, n'est en principe pas limitée dans le temps. Pour autant que la situation de fait ne soit plus susceptible d'évoluer au moment de la décision, cette autorité s'étend aussi bien aux conditions du droit à la prestation qu'aux facteurs qui en fixent l'étendue. Sous réserve d'une révision procédurale (art. 53 al. 1 LPGA) ou d'une reconsidération (art. 53 al. 2 LPGA), lesdits éléments ne peuvent pas être remis en question et réexaminés à tout moment, sauf si la loi prévoit expressément une autre réglementation (comme c'est le cas en matière de prestations complémentaires; ATF 128 V 39 ). Ces principes valent également dans le cadre d'une procédure de révision au sens de l'art. 17 LPGA ou de nouvelle demande. En revanche, la survenance d'une atteinte à la santé totalement différente de celle qui prévalait au moment du refus de la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(ATF 136 V 369 consid. 3.1 et les références; voir également arrêts du Tribunal fédéral 9C_294/2013 du 20 août 2013 ; 9C_658/2008 du 10 juin 2009 consid. 5, in RtiD 2010 I p. 282 et arrêt du Tribunal fédéral des assurances I 76/05 du 30 mai 2006 consid. 5, in SVR 2007 IV n° 7 p. 23). De même, il n'est pas exclu que l'aggravation de l'état de santé d'une personne qui, au moment de la survenance de l'invalidité, ne remplissait pas les conditions d'assurance, puisse constituer un nouveau cas d'assurance si elle est due à une affection totalement différente de celle ayant initialement entraîné l'invalidité (arrêt du Tribunal fédéral 9C_884/2011 du 22 décembre 2011 et les références).</w:t>
      </w:r>
    </w:p>
    <w:p>
      <w:r>
        <w:rPr>
          <w:b/>
        </w:rPr>
        <w:t>E. 5</w:t>
      </w:r>
    </w:p>
    <w:p>
      <w:r>
        <w:t>La recourante entend tirer argument du changement de statut que l’OAI lui a accordé dans la décision querellée en la considérant comme une personne active, à laquelle s’applique, partant, la méthode ordinaire de comparaison des revenus. Elle soutient qu’à l’époque où l’intimée avait rendu sa première décision, soit en 2001, l’invalidité n’était pas encore survenue et qu’il y aurait lieu, dans la détermination du degré d’invalidité, de tenir compte de toutes les atteintes à la santé. Ce raisonnement ne saurait emporter la conviction. En effet, dans son jugement du 27 mai 2003, la Commission de recours a constaté que l’invalidité était survenue en novembre 1992 – sans que cette date ne fût contestée par les parties – et qu’à ce moment, la recourante n’avait pas cotisé à l’AVS/AI durant une année au moins (art. 36 al. 1 LAI dans sa teneur en vigueur jusqu’au 31 décembre 2007). Dans la mesure où l’autorité de la chose jugée (formelle et matérielle) s’étend également aux conditions du droit aux prestations et aux motifs de la décision entrée en force (ATF 136 V 369 consid. 3.1 et 3.2), on ne saurait remettre en cause le fait que le cas d’assurance est survenu en novembre 1991 et l’invalidité en découlant en novembre 1992. Par ailleurs, on ne voit pas en quoi le fait que l’invalidité ait été évaluée, à l’époque du rejet de la première demande, en fonction d’un statut de ménagère permettrait de s’affranchir du principe selon lequel seule peut être prise en considération une atteinte à la santé totalement différente de celle qui prévalait au moment du refus de la première demande. En l’espèce, il est constant que seule la rupture de la coiffe des rotateurs constitue un cas nouveau d’assurance. Par conséquent, c’est à bon droit que l’intimé a considéré dans la décision querellée que l’invalidité de la recourante devait être déterminée exclusivement en fonction de cette nouvelle atteinte. Le recours doit être rejeté en tant qu’il vise à ce qu’une appréciation globale des atteintes à la santé de la recourante soit effectué.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Selon l’art. 59 al. 2bis LAI,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À cet égard, l’art. 49 RAI prévoit que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(alinéa 1). Les services médicaux régionaux peuvent au besoin procéder eux-mêmes à des examens médicaux sur la personne des assurés. Ils consignent les résultats de ces examens par écrit (alinéa 2). Le Tribunal fédéral rappelle que les nouveaux articles 59 al. 2bis LAI et 49 RAI adoptés lors de la 5ème révision AI visent à ce que l’AI ait à disposition ses propres médecins en vue d’apprécier les conditions médicales du droit aux prestations. Ceux-ci peuvent en raison de leur connaissances médicales spécialisées se déterminer pour l’AI sur la capacité fonctionnelle des assurés. Ainsi est-il possible de séparer les compétences entre le médecin traitant (traitement médical) et l’assurance sociale (conséquence de l’atteinte à la santé sur la capacité de travail). Toutefois, l’on ne peut se baser sur une appréciation du SMR que si celle-ci remplit les conditions relatives à la valeur probante des rapports médicaux, soit en particulier, en prenant en compte l’anamnèse, en décrivant la situation médicale et ses conséquences; par ailleurs, les conclusions doivent être motivées (ATF 125 V 351 ). Il n’est toutefois pas nécessaire que l’assuré soit examiné par les médecins du SMR; ceux-ci ne le font que « au besoin » (49 al. 2 RAI). Dans les autres cas, ils se déterminent sur la base des pièces médicales au dossier. A cet égard, le fait qu’ils n’aient pas procédé à un examen médical n’est pas un motif pour remettre en question leur appréciation (arrêt du Tribunal fédéral 9C_323/2009 du 14 juillet 2009). On ne saurait mettre sur le même pied un rapport d’expertise émanant d’un COMAI – dont la jurisprudence a admis que l’impartialité et l’indépendance à l’égard de l’administration et de l’Office fédéral des assurances sociales sont garantis (ATF 123 V 175 ) – et un rapport médical établi par le Service médical régional de l’assurance-invalidité (SMR) ; toutefois, cela ne signifie pas encore qu’en cas de divergence d’opinion entre médecins du SMR et médecins traitants, il est de manière générale nécessaire de mettre en œuvre une nouvelle expertise. La valeur probante des rapports médicaux des uns et des autres doit bien plutôt s’apprécier au regard des critères exposés précédemment (arrêt du Tribunal fédéral des assurances I 938/05 du 24 août 2006, consid. 3.2).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 du Tribunal fédéral 9C_ 578/2009 du 29 décembre 2009 consid. 3.2 in fine).</w:t>
      </w:r>
    </w:p>
    <w:p>
      <w:r>
        <w:rPr>
          <w:b/>
        </w:rPr>
        <w:t>E. 9</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10</w:t>
      </w:r>
    </w:p>
    <w:p>
      <w:r>
        <w:t>En l’espèce, il sied de relever que dans son rapport du 15 novembre 2013, le Dr C______ a certes indiqué qu’au vu de l’atteinte à l’articulation acromio-claviculaire, la capacité de travail théorique était d’environ 50%, tant dans une activité de femme de ménage que dans une activité d’aide-soignante. Toutefois, il ne s’est pas prononcé sur la capacité de travail exigible de la recourante dans une activité adaptée. Quant au rapport du Dr D______ du 22 avril 2013, il se prononçait certes à cet égard, mais à la lumière des affections – non pertinentes (cf. consid. 5 supra ) – relevant du cas d’assurance du 29 novembre 1991 (exercice, à raison de deux heures par jour maximum et avec un rendement de 50%, d’une activité adaptée aux limitations fonctionnelles de l’intéressée). En conséquence, l’avis SMR du 14 avril 2014, constitue une extrapolation insoutenable en tant qu’il conclut à l’existence d’une capacité pleine et entière pour les activités adaptées aux limitations fonctionnelles d’épargne du membre supérieur gauche. En effet, on ne saurait faire une telle déduction sans examen approfondi du cas, notamment d’un point de vue chronologique, ce d’autant moins que la recourante a subi une intervention chirurgicale lourde le 9 avril 2014, suivie d’une période de rééducation et qu’il ressort du rapport du Dr K______ du 3 novembre 2014 que l’état de santé de la recourante n’est pas encore stabilisé, la fonction de l’épaule évaluée à 60% d’une épaule normale et les douleurs résiduelles encore importantes. Il apparaît ainsi que les faits n’ont pas été investigués suffisamment par l’autorité intimée, et ils ne le sont pas à ce jour au point que la chambre de céans pourrait se prononcer sur l’éventuelle incapacité de travail que l’atteinte à l’épaule gauche génère pour la recourante, le cas échéant au regard des conditions régissant l’octroi d’une rente d’invalidité temporaire. La décision attaquée sera donc annulée et la cause renvoyée à l’autorité intimée pour instruction complémentaire dans cette mesure limitée et nouvelle décision, les conditions d’un renvoi étant remplies. Il appartiendra à l’autorité intimée de demander des rapports plus détaillés et actualisés aux médecins compétents et d’examiner s’il y a lieu d’ordonner une expertise.</w:t>
      </w:r>
    </w:p>
    <w:p>
      <w:r>
        <w:rPr>
          <w:b/>
        </w:rPr>
        <w:t>E. 11</w:t>
      </w:r>
    </w:p>
    <w:p>
      <w:r>
        <w:t>a) En dérogation à la règle générale voulant que la procédure devant la chambre de céans soit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l’assurance-invalidité devant le Tribunal cantonal des assurances (soit, dans le canton de Genève, la chambre des assurances sociales de la Cour de justice [art. 134 al. 1 let. a ch. 2 LOJ]) soit soumise à des frais de justice, le montant des frais susceptible d’être mis à la charge des parties dans une telle procédure devant se situer entre CHF 200.- et CHF 1'000.-, indépendamment de la valeur litigieuse (cf. aussi art. 89H al. 4 LPA). En l’espèce, un émolument de CHF 200.- est mis à la charge de l’intimé. b) Vu l’admission partielle du recours au sens des considérants, une indemnité de CHF 1’000.- sera accordée au recourant à titre de participation à ses frais et dépens (art. 61 let. g LPGA; art. 89H al. 3 de la loi sur la procédure administrative du 12 septembre 1985 - LPA-GE - E 5 10 ; art. 6 du règlement sur les frais, émoluments et indemnités en procédure administrative du 30 juillet 1986 - RFPA - E 5 10.03).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