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A/2112/2016 vom 9. Juni 2016</w:t>
      </w:r>
    </w:p>
    <w:p>
      <w:r>
        <w:t>GE Cour de justice, 2016-06-09, FR</w:t>
      </w:r>
    </w:p>
    <w:p>
      <w:r>
        <w:rPr>
          <w:b/>
        </w:rPr>
        <w:t xml:space="preserve">Quelle: </w:t>
      </w:r>
      <w:r>
        <w:t>https://mcp.opencaselaw.ch/entscheid/ge_gerichte_A_2112_2016</w:t>
      </w:r>
    </w:p>
    <w:p>
      <w:r>
        <w:t>FR: GE_GERICHTE A/2112/2016 du 9 juin 2016</w:t>
      </w:r>
    </w:p>
    <w:p>
      <w:r>
        <w:t>IT: GE_GERICHTE A/2112/2016 del 9 giugno 2016</w:t>
      </w:r>
    </w:p>
    <w:p>
      <w:pPr>
        <w:pStyle w:val="Heading2"/>
      </w:pPr>
      <w:r>
        <w:t>Volltext</w:t>
      </w:r>
    </w:p>
    <w:p>
      <w:r>
        <w:t>Genève Cour de justice (Cour de droit public) Chambre des assurances sociales 01.11.2016 A/2112/2016</w:t>
      </w:r>
    </w:p>
    <w:p>
      <w:r>
        <w:t>A/2112/2016 ATAS/891/2016 du 01.11.2016 ( AI ) , SANS OBJET rÉpublique et canton de genÈve POUVOIR JUDICIAIRE A/2112/2016 ATAS/891/2016 COUR DE JUSTICE Chambre des assurances sociales Arrêt du 1 er novembre 2016 1 ère Chambre En la cause Monsieur A_______, domicilié à GENÈVE recourant contre OFFICE DE L'ASSURANCE-INVALIDITÉ DU CANTON DE GENÈVE, sis rue des Gares 12, GENÈVE intimé Attendu en fait que par décision du 9 juin 2016, l’office de l'assurance-invalidité du canton de Genève (ci-après l'OAI) a reconnu le droit de Monsieur A_______ (ci-après l’assuré) à une rente entière d’invalidité, assortie de rentes complémentaires pour enfants ; qu’il en a fixé le montant mensuel à CHF 1'536.- d’octobre à décembre 2014, et à CHF 1'542.- dès janvier 2015 ; qu’il a expressément indiqué que les revenus réalisés par les ex-époux pendant les années civiles de mariage commun avaient été répartis et attribués pour moitié à chacun d’entre eux ; Que l’assuré a interjeté recours le 23 juin 2016 contre ladite décision ; qu’il précise que, selon le jugement de divorce rendu par le Tribunal de première instance le 11 juillet 2000, « chacun des époux renonce à toute contribution post-divorce à son entretien et à toute prétention relative aux avoirs vieillesse de son conjoint » ; qu’il indique également que son ex-épouse est partie pour le Brésil à la fin de l’année 1993, n’est revenue qu’en 2000, pour définitivement quitter la Suisse quelques mois plus tard ; Qu’invitée à se déterminer, la caisse cantonale genevoise de compensation (ci-après CCGC) a, par courrier du 31 août 2016, informé la chambre de céans qu’elle avait entrepris des actions d’instruction complémentaire sur le séjour effectif en Suisse de l’ex-épouse de l’assuré ; Que le 15 septembre 2016, elle a annoncé qu’elle allait procéder à un nouveau calcul de la rente, en opérant un partage des revenus des ex-époux jusqu’à janvier 1994 ; Que le 17 octobre 2016, l’OAI a transmis à la chambre de céans copie de la nouvelle décision du 20 octobre 2016 établie par la CCGC, annulant et remplaçant celle du 9 juin 2016 ; que le partage des revenus avec l’ex-épouse a été dûment modifié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CCGC a rendu une nouvelle décision le 20 octobre 2016, annulant et remplaçant celle du 9 juin 2016 ; Qu'il convient d'en prendre acte ; Que le recours interjeté par l’assuré le 23 juin 2016 est dès lors devenu sans objet ; qu’il convient de rayer la cause du rôle ; PAR CES MOTIFS, LA CHAMBRE DES ASSURANCES SOCIALES : 1.        Prend acte de la nouvelle décision du 20 octobre 2016.![endif]&gt;![if&gt; 2.        Dit que le recours est devenu sans objet.![endif]&gt;![if&gt; 3.        Raye la cause du rôle.![endif]&gt;![if&gt;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