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A/2112/2003 vom 20. Juli 2004</w:t>
      </w:r>
    </w:p>
    <w:p>
      <w:r>
        <w:t>GE Cour de justice, 2004-07-20, FR</w:t>
      </w:r>
    </w:p>
    <w:p>
      <w:r>
        <w:rPr>
          <w:b/>
        </w:rPr>
        <w:t xml:space="preserve">Quelle: </w:t>
      </w:r>
      <w:r>
        <w:t>https://mcp.opencaselaw.ch/entscheid/ge_gerichte_A_2112_2003</w:t>
      </w:r>
    </w:p>
    <w:p>
      <w:r>
        <w:t>FR: GE_GERICHTE A/2112/2003 du 20 juillet 2004</w:t>
      </w:r>
    </w:p>
    <w:p>
      <w:r>
        <w:t>IT: GE_GERICHTE A/2112/2003 del 20 luglio 2004</w:t>
      </w:r>
    </w:p>
    <w:p>
      <w:pPr>
        <w:pStyle w:val="Heading2"/>
      </w:pPr>
      <w:r>
        <w:t>Erwägungen</w:t>
      </w:r>
    </w:p>
    <w:p>
      <w:r>
        <w:rPr>
          <w:b/>
        </w:rPr>
        <w:t>E. 5</w:t>
      </w:r>
    </w:p>
    <w:p>
      <w:r>
        <w:t>Aux termes de l’art. 8 al. 1 LPGA, est réputée invalidité l’incapacité de gain totale ou partielle qui est présumée permanente ou de longue durée. Selon l’art. 4 LAI, l’invalidité peut résulter d’une infirmité congénitale, d’une maladie ou d’un accident (art. 4 LAI).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Conformément au principe de la libre appréciation des preuves,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Il convient cependant de rappeler que les constatations du médecin de famille quant à l’appréciation de l’incapacité de travail de l’assuré ont une valeur probante inférieure à celles des spécialistes (RCC 1988, page 504). Au surplus, lorsque l'administration confie des expertises à des spécialistes externes reconnus, le juge peut, dans le cadre de l'appréciation des preuves, leur reconnaître une pleine force probante dans la mesure où celles-ci se fondent sur des examens complets ainsi qu'une étude fouillée du dossier et qu'il n'existe pas non plus d'indices concrets qui permettraient de douter de leur bien-fondé (ATF125V 353 consid. 3b/bb, 122 V 161 consid. 1c et les références). Selon le chiffre 6007 de la Circulaire sur la procédure dans l’assurance-invalidité (ci-après CPAI) éditée par l’Office fédéral des assurances sociales (ci-après l’OFAS), appel est fait aux services du Centre d’observation professionnelle de l’assurance-invalidité (ci-après COPAI) dans des cas particuliers, pour l’examen pratique de la capacité de travail d’un assuré. L’examen effectué par le Centre d’observation professionnelle de l’assurance-invalidité (ci après :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Dans le cas particulier, divers médecins se sont penchés sur le cas du recourant. Il est incontestable que celui-ci souffre de troubles lombaires et cervicaux (cf. notamment rapports des 28 octobre 2002 et 28 janvier 2000 du Dr B__________). S’agissant des répercussions de ces troubles de la santé sur la capacité de travail du recourant, les avis médicaux sont peu nombreux et sommairement motivés. Ainsi, la Dresse A__________ a estimé que le recourant était en incapacité de travail partielle avec un rendement de 75% à partir du 1 er septembre 2002, puis qu’il pourrait reprendre une activité adaptée dès le mois de mars 2003 et effectuer un travail de ferrailleur avec un rendement de 70% (cf. rapports des 30 août 2002, 8 et 14 février 2003). Par ailleurs, le Dr D__________ a également attesté que le recourant présentait une incapacité de travail totale depuis le 28 septembre 2000 (rapports des 25 mars et 30 avril 2003). C’est le lieu de préciser qu’un certificat médical postérieur à la notification de la décision litigieuse en date du 29 septembre 2003 ne saurait être pris en considération au motif que le juge ne doit, en principe, tenir compte que des faits existants au moment où la décision litigieuse a été rendue (ATF 121 V 366 consid. 1b et les arrêts cités). Pour cette raison, il ne peut être tenu compte du rapport médical du Dr D__________ du 16 octobre 2003. Ces divers rapports médicaux étant peu motivés quant à l’appréciation de la capacité résiduelle de travail du recourant, l’intimé était fondé à prévoir un stage d’observation professionnelle aux fins de la déterminer plus précisément. L’intéressé a ainsi suivi deux stages (Y__________ et X__________) mis en place par le CIP, respectivement du 3 juin au 29 septembre 2002 et du 30 septembre au 22 décembre 2002. Du stage Y__________, il est ressorti que le recourant présentait une capacité de travail de 80% au minimum, soit un rendement de 80% sur un plein temps, dans des travaux légers en position essentiellement assise, avec alternance des positions et le bras gauche en appui sur l’établi. Sa capacité de travail a par contre été ramenée à 75% dans une activité adaptée, selon les conclusions du stage X__________, en raison d’une aggravation de la symptomatologie douloureuse de l’épaule gauche et d’un comportement plus plaintif et ambivalent du recourant. Ces observations ayant été effectuées dans les règles de l’art, il n’y a pas lieu de s’écarter de leurs conclusions (ATF125V 353 consid. 3b/bb, 122 V 161 consid. 1c et les références). En conclusion, il faut retenir que l’intéressé présente une capacité résiduelle de travail de 75% dans une activité adaptée, selon les conclusions du stage X__________, soit l’expertise professionnelle la plus récente de l’OCAI, diligentée du 30 septembre au 22 décembre 2002.</w:t>
      </w:r>
    </w:p>
    <w:p>
      <w:r>
        <w:rPr>
          <w:b/>
        </w:rPr>
        <w:t>E. 6</w:t>
      </w:r>
    </w:p>
    <w:p>
      <w:r>
        <w:t>L’article 28 alinéa 2 LAI, à mettre en parallèle avec l’article 4 LAI, prévoit que,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L'assuré a droit à une rente s'il est invalide à 40% au moins. En ce cas, il recevra un quart de rente. S'il est invalide à 50%, il se verra octroyer une demi-rente et, si son invalidité atteint 66 2/3%, une rente entière (art. 28 al. 1 LAI). Dans les cas pénibles, une invalidité de 40% au moins ouvre droit à une demi-rente (art. 28 al. 1 bis LAI). Selon l’art. 29 alinéa 1 LAI, le droit à la rente au sens de l’art. 28 prend naissance au plus tôt à la date dès laquelle : l’assuré présente une incapacité de gain durable de 40% au moins (art. 7 LPGA), ou l’assuré a présenté, en moyenne, une incapacité de travail de 40% au moins pendant une année sans interruption notable (art. 6 LPGA).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Aux termes de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Le revenu sans invalidité se détermine en général d’après le dernier salaire que l’assuré a obtenu avant l’atteinte à sa santé, en tenant compte de l’évolution des salaires intervenue jusqu’au moment du prononcé de la décision (RCC 1991 p. 332 ; ATFA du 28 juin 2000). L'incapacité de gain consiste en la diminution moyenne prévisible des possibilités de gain de la personne concernée sur l'ensemble du marché du travail équilibré pouvant entrer en considération pour elle (ch. 1017 de Circulaire de l'Office fédéral des assurances sociales concernant l'invalidité et l'impotence de l'assurance-invalidité [CIIAI]). Conformément à la jurisprudence récente, ce sont les données existant au moment de l’ouverture du droit à la rente, ainsi que les modifications significatives éventuelles survenues jusqu’au moment de la décision qui ont des conséquences sur le droit à cette prestation qui sont déterminantes pour opérer une comparaison des revenus (ATF 128 V 174 consid. 4a). Ces principes, développés dans le domaine de la LAA, sont applicables à la comparaison des revenus selon l’art. 28 al. 2 LAI également ; arrêts G. du 22 août 2002 [I 440/01] et L. du 18 octobre 2002 [I 761/01]. Pour chiffrer le revenu d’invalide, on peut se référer, selon la jurisprudence à ce que l’on appelle des tableaux de salaire. Cette possibilité est retenue en particulier lorsque l’assuré n’a repris aucune activité lucrative pouvant être raisonnablement attendue de lui après la survenance de l’atteinte à la santé (ATF 124 V 322 ; VSI 2002 page 85 ).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dans de tels cas, on peut réduire de 10 à 25% le salaire indiqué dans le tableau (VSI 1998 page 179, page 296). La déduction de 25% n’intervient cependant pas de manière générale et dans chaque cas. Il faut au contraire examiner sur la base de l’ensemble des circonstances du cas concret et particulier si, et dans quelles mesures, le revenu hypothétique doit être réduit. Dans ce contexte, il s’agit aussi de prendre en considération le fait que les étrangers ne gagnent pas toujours le même salaire que la moyenne de tous les travailleurs étrangers et suisses (VSI 2000 page 85).</w:t>
      </w:r>
    </w:p>
    <w:p>
      <w:r>
        <w:rPr>
          <w:b/>
        </w:rPr>
        <w:t>E. 7</w:t>
      </w:r>
    </w:p>
    <w:p>
      <w:r>
        <w:t>Dans le cas particulier, l’intéressé a cessé définitivement de travailler le 27 octobre 2000. En application de l’art. 29 alinéa 1 let. b LAI, son droit à la rente a pris naissance au plus tôt le 27 octobre 2001. L’année 2001, moment de l’ouverture du droit à la rente, est donc déterminante pour opérer une comparaison des revenus. Suivant les déclarations de son employeur du 20 février 2002, l’assuré avait réalisé un gain annuel de 62'358 fr. 15 en 1999 et de 46'651 fr. 35 en 2000, compte tenu de ses absences au cours de cette dernière année. Il ressort par ailleurs d’un décompte de salaire mensuel daté du 7 mars 2001 que le salaire mensuel de l’intéressé en janvier et février 2001 était mensuellement de 4'835 fr. Il faut donc en conclure que son salaire sans invalidité en 2001 serait de 62'855 fr. (4'835 fr. x 13). Pour ce qui concerne le salaire avec invalidité, est déterminant le tableau A1.1 de l’enquête suisse sur la structure des salaires de l’office fédéral de la statistique (ESS) pour l’année 2000, avec la correction suivante : le salaire mensuel brut (valeur centrale) pour des tâches simples et répétitives (niveau des exigences 4) d’hommes occupés dans le secteur privé à raison de 40 heures par semaine doit être calculé sur la base d’un horaire hebdomadaire moyen de 41,8 heures. De ce fait, le montant de 55'416 fr. (4'618 fr. x 12) doit être porté à 57'909 fr. actualisé 2001. En appliquant à ce résultat un taux de 75% de capacité de travail, le salaire annuel s’élève à 43'432 fr. La jurisprudence autorise de tenir compte d’une réduction de rendement de 10% pour prendre en considération les facultés d’apprentissages réduites du recourant et son quasi-analphabétisme, tempérés par son relatif jeune âge (43 ans en 2003, date de notification de la décision litigieuse). Compte tenu de cette réduction, son revenu d’invalide passe ainsi à 39'088 fr. Au vu de ce qui précède, il apparaît que le recourant subit un manque à gagner de 23’767 fr. du fait de son atteinte à la santé (62'855 fr. - 39'088 fr.)</w:t>
      </w:r>
    </w:p>
    <w:p>
      <w:r>
        <w:rPr>
          <w:b/>
        </w:rPr>
        <w:t>E. 8</w:t>
      </w:r>
    </w:p>
    <w:p>
      <w:r>
        <w:t>Dans le cas d’espèce, le taux d’invalidité d’une personne est égal à 100% moins le rapport en pour-cent entre le revenu de cette personne invalide (RI) et le revenu sans invalidité (RS). Le taux d’invalidité se calcule à l’aide de la formule suivante (CIIAI 3083 et 3084) : = taux d’invalidité en % En l’espèce, en considérant un revenu hypothétique annuel d’invalide de 39’088 fr., le calcul est le suivant : fr. 62'855 (RS) - fr. 39’088 (RI) x 100 / fr. 62'855 = 37,81%. Le taux d’invalidité déterminé sur cette base s’élève donc à 37,81% et ne donne pas droit à l’octroi d’une rente d’invalidité. Par conséquent, au vu des considérations susmentionnées,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