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A/2110/2024 vom 17. Dezember 2024</w:t>
      </w:r>
    </w:p>
    <w:p>
      <w:r>
        <w:t>GE Cour de justice, 2024-12-17, FR</w:t>
      </w:r>
    </w:p>
    <w:p>
      <w:r>
        <w:rPr>
          <w:b/>
        </w:rPr>
        <w:t xml:space="preserve">Quelle: </w:t>
      </w:r>
      <w:r>
        <w:t>https://mcp.opencaselaw.ch/entscheid/ge_gerichte_A_2110_2024</w:t>
      </w:r>
    </w:p>
    <w:p>
      <w:r>
        <w:t>FR: GE_GERICHTE A/2110/2024 du 17 décembre 2024</w:t>
      </w:r>
    </w:p>
    <w:p>
      <w:r>
        <w:t>IT: GE_GERICHTE A/2110/2024 del 17 dicembre 2024</w:t>
      </w:r>
    </w:p>
    <w:p>
      <w:pPr>
        <w:pStyle w:val="Heading2"/>
      </w:pPr>
      <w:r>
        <w:t>Erwägungen</w:t>
      </w:r>
    </w:p>
    <w:p>
      <w:r>
        <w:rPr>
          <w:b/>
        </w:rPr>
        <w:t>E. 22</w:t>
      </w:r>
    </w:p>
    <w:p>
      <w:r>
        <w:t>février 2023, de coronographie et angioplastie du 23 février 2023, de coronographie du 24 février 2023, d’échocardiographie du 12 octobre 2023), des rapports établis par le docteur D______, spécialiste FMH en cardiologie (rapports des 2 juin et 25 octobre 2023), la docteure E______, médecin cheffe de clinique aux Hôpitaux universitaires de Genève (ci-après : HUG ; rapport du 13 juillet 2023) le docteur F______, spécialiste FMH en neurochirurgie et chirurgie du rachis (rapports des 22 septembre 2023 et 11 janvier 2024), le docteur G______, spécialiste FMH en médecine interne générale (rapport du 28 octobre 2023), et le docteur H______, spécialiste FMH en psychiatrie et psychothérapie (rapport du 5 février 2024). e. Lors d’un entretien téléphonique « pour indépendants » du 9 novembre 2023, l’assuré a expliqué avoir débuté son activité indépendante en 2019 et avoir créé la société et son entreprise individuelle en 2023, prérequis indispensable pour travailler comme chauffeur Uber. Il avait deux véhicules personnels en plaques interchangeables. Il se sentait fatigué, dormait mal, faisait des cauchemars et devait raccourcir ses journées de travail pour se reposer. Il travaillait donc moins et avait besoin d’aide de la part de l’OAI, sous forme de rente, pour l’aider « à payer son loyer qui est très cher ». f. Dans une appréciation du 11 février 2024, le docteur I______, médecin auprès du SMR, a retenu les diagnostics de lombalgies chroniques non déficitaires sur des troubles dégénératifs rachidiens, un status post infarctus du myocarde STEMI avec FEVG à 50% et une dyskinésie apicale modérée, ainsi que des troubles de l’adaptation avec une réaction mixte anxieuse et dépressive, et un trouble panique moyen traités. La capacité de travail était nulle dès le 23 février 2023, mais était entière depuis le 5 février 2024 dans un métier adapté, comme attesté par le cardiologue, soit une activité légère, sédentaire, principalement en position assise, permettant l’alternance des positions au gré de l’assuré, sans manipulations de charges lourdes de plus de 5 à 7 kg à répétition, sans position du rachis en porte-à-faux, dans un milieu tempéré, sans haut niveau de stress et à répartir harmonieusement sur cinq jours ouvrables. L’activité de chauffeur n’était plus adaptée depuis l’évènement cardiaque de février 2023, bien que reprise à une date et à un taux non précisé par le psychiatre de l’assuré. g. Le 27 mars 2024, la docteure J______, médecin cheffe de clinique au service de neurologie des HUG, a rendu un rapport suite à l’hospitalisation de l’assuré du 5 au 8 mars 2024 en raison d’un hémisyndrome moteur droit brachio-crural transitoire. Le status neurologique était dans la norme, le bilan radiologique cérébral ne retrouvait pas de lésion ischémique aigüe ou hémorragique. Le bilan neurosonologique revenait dans la norme, la symptomatologie avait régressé et l’IRM cardiaque avait confirmé l’absence de thrombus intracardiaque. Elle a diagnostiqué un probable accident ischémique transitoire sylvien gauche profond à répétition, d’origine indéterminée. Dans le cadre de ce bilan, avait été mise en évidence une hémoglobine glyquée légèrement supérieure à la norme en faveur d’un pré-diabète. h. L’OAI a mis en œuvre une enquête économique pour évaluer les répercussions de l’atteinte à la santé sur la sphère professionnelle de l’assuré. Il ressort du rapport y relatif du 5 avril 2024 que les données économiques permettaient de constater que l’assuré avait réussi à maintenir un chiffre d’affaires et un bénéfice en 2023 comparables à ceux réalisés en 2019, date à laquelle il avait débuté son activité de chauffeur indépendant. Cette activité ne pouvait être prise en compte pour déterminer le revenu sans invalidité, puisqu’elle était encore dans sa phase de développement au moment de l’atteinte à la santé. Il convenait donc de se référer à l’activité antérieure d’aide cuisinier pour procéder à la comparaison des revenus. L’activité habituelle n’était plus adaptée depuis l’événement cardiaque survenu au mois de février 2023. Il était essentiel d’envisager un changement de métier, même si l’intéressé avait maintenu son activité professionnelle et ses revenus. C. a. Le 18 avril 2024, l’OAI a informé l’assuré qu’il envisageait de rejeter sa demande de prestations, au motif que le degré d’invalidité était insuffisant pour ouvrir le droit à une rente ou à des mesures professionnelles. Les limitations fonctionnelles retenues par le SMR entrainaient une incapacité de travail dans le métier habituel depuis le 23 février 2023, mais étaient compatibles avec l’exercice d’une activité adaptée à 100%, sans baisse de rendement, depuis le mois de février 2024. Après avoir rappelé les conclusions du rapport d’enquête économique, il a constaté que la comparaison des revenus sans invalidité (CHF 60'474.-) et avec invalidité (CHF 59'372.-) révélait un degré d’invalidité de 1.82%, arrondi à 2%. Ainsi, aucune invalidité durable ne pouvait être reconnue. b. Par courrier du 15 mai 2024, l’intéressé a contesté cette prise de position, faisant valoir qu’il était en incapacité de travail à 50%, que la détérioration de son état physique avait gravement impacté son état de santé psychique et qu’il devrait prochainement faire un suivi chez un cardiologue. Il a annexé un certificat du 14 mai 2024 du Dr G______ attestant qu’il présentait une cardiopathie chronique, une lombosciatalgie chronique, un syndrome des apnées du sommeil et une asthénie multifactorielle, et était en incapacité de travail à 50%, ainsi qu’un certificat du 14 mai 2024 du Dr H______ certifiant d’une incapacité de travail de 50% du point de vue strictement psychiatrique. c. Par décision du 24 mai 2024, l’OAI a refusé d’octroyer à l’assuré une rente d’invalidité et des mesures professionnelles, reprenant les motifs à l’appui de son projet du 18 avril 2024. Il a notamment relevé que le SMR estimait qu’une incapacité totale de travail pouvait être retenue dans l’activité habituelle, bien que le médecin traitant retenait une capacité de travail de 50%, mais qu’une activité strictement adaptée aux limitations fonctionnelles pouvait être exercée à temps plein et sans diminution de rendement. Aucun élément médical objectif ne permettant de modifier cette appréciation, le projet de décision était maintenu. D. a. Par acte du 21 juin 2024, l’assuré a interjeté recours contre la décision précitée, concluant à l’octroi d’une rente d’invalidité de 50%. En substance, le recourant a maintenu qu’il était toujours en incapacité de travail à 50%, que la détérioration de son état physique avait gravement impacté son état de santé psychique, que son activité indépendante lui permettait de travailler à 50% et qu’il était disposé à accepter un reclassement professionnel à hauteur de 50% en vue d’« aménager [son] état de santé ». b. Dans sa réponse du 18 juillet 2024, l’intimé a conclu au rejet du recours. Les divers certificats produits étaient dépourvus d’explication clinique médicale et ne permettaient pas de remettre en cause son appréciation quant à la capacité de travail. c. Le recourant n’a pas répliqué dans le délai imparti à cet effet.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Interjeté en temps utile, le recours est recevable (art. 60 al. 1 LPGA). 2. Le litige porte sur le bien-fondé de la décision du 24 mai 2024, par laquelle l’intimé a nié le droit du recourant à des prestations d’invalidité. 3. 3.1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3.2 En l’occurrence, il n’est pas contesté que l’éventuel droit du recourant à des prestations est né postérieurement au 31 décembre 2021, de sorte que les dispositions légales applicables seront citées dans leur nouvelle teneur. 4. Conformément aux art. 8 al. 1 LPGA et 4 al. 1 LAI, est réputée invalidité, l'incapacité de gain totale ou partielle présumée permanente ou de longue durée, résultant d'une infirmité congénitale, d'une maladie ou d'un accident. L’art. 6 LPGA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4.1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La détermination des mesures tient notamment compte de l’âge de l’assuré (al. 1 bis let. a), de son niveau de développement (al. 1 bis let. b), de ses aptitudes (al. 1 bis let. c) et de la durée probable de la vie active (al. 1 bis let. d). L’art. 28 al. 1 LAI prévoit que l’assuré a droit à une rente d’invalidité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4.2.1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4.2.2 Le trouble de l'adaptation est une atteinte à la santé psychique qui n'est, en principe, pas considérée comme une maladie de longue durée et donc potentiellement invalidante. Un trouble de l'adaptation dure rarement plus de six mois (arrêt du Tribunal fédéral 9C_408/2023 du 23 avril 2024 consid. 5.2 et les références). Cependant, selon la Classification internationale des maladies et des problèmes de santé connexes, 10e révision (CIM-10),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 qu'il appartient au psychiatre d'établir conformément à la procédure probatoire définie à l'ATF 141 V 281 -, être relevant pour l'octroi d'une rente de l'assurance-invalidité (arrêt du Tribunal fédéral 9C_408/2023 du 23 avril 2024 consid. 5.2 et les références). 4.2.3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 143 V 409 418 consid. 7.1 ; arrêts du Tribunal fédéral 8C_43/2023 du 29 novembre 2023 consid. 5.2 ;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al. 3 LAI, les services médicaux régionaux établissent les capacités fonctionnelles de l’assuré qui sont déterminantes pour l’assurance-invalidité en vertu de l’art. 6 LPGA, pour l’exercice d’une activité lucrative raisonnablement exigible ou pour l’accomplissement des travaux habituels.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 bis , p. 60].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7. En l’espèce, dans sa décision litigieuse du 24 mai 2024, l’intimé a retenu, sur la base de l’avis du SMR du 11 février 2024, que le recourant était en incapacité totale d’exercer son métier de chauffeur, mais qu’il disposait d’une entière capacité de travail dans une activité strictement adaptée aux limitations fonctionnelle énoncées dans le rapport précité. Le recourant soutient que sa capacité de travail est limitée à 50%, pour des motifs physiques et psychiques, et se réfère à l’appréciation de ses médecins traitants. 7.1 La chambre de céans constate d’emblée que l’instruction médicale du dossier est lacunaire. 7.1.1 Sur le plan psychique, le Dr H______ a posé les diagnostics de trouble de l’adaptation avec réaction mixte anxieuse et dépressive (F43.22) et de trouble panique moyen (F41.00). Il a indiqué suivre le patient depuis le mois de mai 2023, une fois tous les 15 jours. Au status psychiatrique, il a fait état d’une importante anxiété et d’angoisses associées aux symptômes sympathiques, d’une grande fatigue, de pleurs, de troubles du sommeil, de perte du plaisir, de péjoration de l’avenir, d’idées noires sans velléités suicidaires. La relation avec la famille était bonne, il faisait des efforts pour les tâches quotidiennes, mais ne faisait pas le ménage. Il réalisait quelques courses comme chauffeur de taxi, mais rentrait souvent à la maison suite à la fatigue et aux crises d’angoisse et de panique. Il avait peu de loisir et évitait les contacts sociaux. Le médecin a considéré que son patient n’avait pas beaucoup de ressources, car son trouble panique l’empêchait de nouer des relations sociales. La prise en charge permettait une stabilité clinique avec une diminution des risques de décompensations psychiatriques, voire d’hospitalisation. Sans prise en charge, le pronostic serait mauvais. La capacité de travail était de 50% dans n’importe quelle activité et la symptomatologie psychiatrique limitait les capacités d’attention et de concentration, de compréhension, d’adaptation et de rythme de travail, avec une diminution de l’endurance, des difficultés de la gestion du stress et des émotions, des difficultés liées aux tâches professionnelles, au maintien d’un rythme diurne et nocturne, une organisation du temps (rapport du 5 février 2024). Ce rapport remplit a priori les exigences formelles pour se voir reconnaître une valeur probante. Il émane d’un spécialiste, qui a posé des diagnostics selon une classification internationale reconnue. Le psychiatre a résumé l’anamnèse, détaillé le status psychiatrique, décrit le déroulement d’une journée type. Il a expliqué les raisons pour lesquelles il considérait que l’intéressé ne disposait pas de beaucoup de ressources et a fait état de plusieurs limitations fonctionnelles. Il a relevé que les troubles psychiques avaient des répercussions sur les activités courantes de la vie, ainsi que sur la capacité de travail. Son analyse repose ainsi sur l’étude approfondie du dossier complet de son patient, qu’il suit régulièrement depuis plusieurs mois. Dans ces circonstances, le Dr I______ devait motiver les raisons pour lesquelles il admettait les diagnostics retenus par le psychiatre traitant, mais pas l’existence des limitations fonctionnelles énoncées et leur impact sur la capacité de travail. Or, son rapport ne contient pas la moindre argumentation à cet égard, le médecin s'étant contenté de noter que le recourant avait « repris son activité de référence à une date et à un taux non précisé par son psychiatre ». Cet élément ne permet à l’évidence pas de retenir une pleine capacité de travail, puisque le Dr H______ a précisément conclu que l’intéressé était apte à travailler à 50%. En l’absence de toute analyse des indicateurs développés par la jurisprudence, l’avis divergent du SMR ne saurait être suivi. Partant, le rapport du Dr I______ est manifestement dénué de toute valeur probante concernant le volet psychique. L’intimé ne pouvait donc pas se fonder de manière déterminante sur son contenu pour statuer sur le droit du recourant à des prestations. 7.1.2 Au niveau somatique, la chambre de céans relèvera que l’intimé n’a pas invité le SMR à se déterminer sur le rapport du 27 mars 2024 de la Dre J______, lequel fait état d’une hospitalisation d’urgence suite à un accident ischémique transitoire. L’instruction médicale se révèle donc également incomplète s’agissant des atteintes physiques présentées par le recourant, les conclusions du médecin conseil ne tenant pas compte du dernier rapport produit. Ce dernier fait par ailleurs référence à des examens complémentaires devant être réalisés, notamment des bilans sanguins, une consultation chez le cardiologue traitant et un contrôle neurovasculaire à trois mois. 7.2 Compte tenu de ces lacunes, il convient de renvoyer la cause à l’intimé afin qu’il complète l’instruction du dossier du recourant. 8. Au vu de ce qui précède, le recours sera partiellement admis, la décision litigieuse annulée et la cause sera renvoyée à l’intimé pour instruction complémentaire et nouvelle décision, dans le sens des considérants.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