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A/2110/2019 vom 9. Februar 2021</w:t>
      </w:r>
    </w:p>
    <w:p>
      <w:r>
        <w:t>GE Cour de justice, 2021-02-09, FR</w:t>
      </w:r>
    </w:p>
    <w:p>
      <w:r>
        <w:rPr>
          <w:b/>
        </w:rPr>
        <w:t xml:space="preserve">Quelle: </w:t>
      </w:r>
      <w:r>
        <w:t>https://mcp.opencaselaw.ch/entscheid/ge_gerichte_A_2110_2019</w:t>
      </w:r>
    </w:p>
    <w:p>
      <w:r>
        <w:t>FR: GE_GERICHTE A/2110/2019 du 9 février 2021</w:t>
      </w:r>
    </w:p>
    <w:p>
      <w:r>
        <w:t>IT: GE_GERICHTE A/2110/2019 del 9 febbraio 2021</w:t>
      </w:r>
    </w:p>
    <w:p>
      <w:pPr>
        <w:pStyle w:val="Heading2"/>
      </w:pPr>
      <w:r>
        <w:t>Erwägungen</w:t>
      </w:r>
    </w:p>
    <w:p>
      <w:r>
        <w:rPr>
          <w:b/>
        </w:rPr>
        <w:t>E. 3</w:t>
      </w:r>
    </w:p>
    <w:p>
      <w:r>
        <w:t>ème section dans la cause VILLE DE GENÈVE - DÉPARTEMENT DES CONSTRUCTIONS ET DE L'AMÉNAGEMENT contre DÉPARTEMENT DU TERRITOIRE - OAC SWISSCOM (SUISSE) SA _________ Recours contre la décision incidente du Tribunal administratif de première instance du 1 er octobre 2020 ( DITAI/402/2020 ) EN FAIT 1) Par décision n° DD 11'942 du 23 avril 2019, le département du territoire - OAC (ci-après : DT) a octroyé à Swisscom (Suisse) SA (ci-après : Swisscom) une autorisation de modification d'une installation de téléphonie mobile sise 30, quai Ernest-Ansermet, en ville de Genève. 2) Le 31 octobre 2018, le service de l'air, du bruit et des rayonnements non ionisants (ci-après : SABRA) avait émis un préavis favorable sous condition. Un mesurage de contrôle des immissions de rayonnements non ionisants (ci-après : RNI) à sept lieux à utilisation sensible (ci-après : LUS) dans les environs de l'implantation, où celles-ci étaient supérieures à 80 % de la valeur limite de l'installation (ci-après : VLInst), devait être effectué. 3) Le 7 janvier 2019, la Ville de Genève (ci-après : la ville) avait émis un préavis défavorable. L'installation était trop proche d'une école primaire. Il fallait que l'installation soit en tous points conforme aux règles fixées par l'ordonnance sur la protection contre le rayonnement non ionisant du 23 décembre 1999 (ORNI - RS 814.710) et qu'il soit démontré qu'aucune autre installation à proximité ne puisse répondre aux besoins couverts par l'installation projetée. 4) Le 28 mai 2019, la ville a recouru contre l'autorisation auprès du Tribunal administratif de première instance (ci-après : TAPI), concluant à son annulation. Avec un écart maximal de ± 45 %, l'incertitude de la prise d'échantillon quant au respect de la valeur limite d'immission (ci-après : VLI), arrêtée à 5 V/m par l'ORNI, était trop grande pour garantir que la limite ne serait pas dépassée. Le dernier étage de l'école primaire Cité-Jonction enregistrait par exemple une valeur de 4.83 V/m correspondant à 96.6 % de la VLInst. Le 6 ème étage du bâtiment d'habitation du 22, avenue de Sainte-Clotilde enregistrait 4.75 V/m, soit 95 % de la CLInst. Trois autres LUS enregistraient 4.93 V/m respectivement 4.94 V/m, soit 98.6 % respectivement 98.8 % de la VLInst. Le DT aurait dû fixer à 3.45 V/m la limite maximale de la VLI, en prenant en compte la marge d'erreur de 45 %. Les dernières informations fournies par l'office fédéral de l'environnement (ci-après : OFEV) quant aux effets sur la santé n'étaient pas rassurantes. Or, un groupe de travail mis en place par le Conseil fédéral devait rendre à l'été 2019 un rapport accompagné de recommandations sur les besoins et les risques en matière de téléphonie mobile. Il fallait attendre la remise de ce rapport. 5) Le 1 er juillet 2019, Swisscom a conclu au rejet du recours. 6) Le 4 septembre 2019, le DT a réclamé la suspension de l'instruction du recours jusqu'au dépôt du rapport du groupe d'experts. Quelques jours avant la délivrance de l'autorisation, le Grand Conseil genevois avait voté une motion invitant le Conseil d'État à mettre en place un moratoire concernant l'installation de la 5G, et le 5 avril 2019, le président du Conseil d'État avait décidé de suspendre la délivrance des autorisations d'installer les antennes 5G, dans l'attente du résultat des travaux en cours de l'OFEV. 7) Le 12 septembre 2019, Swisscom s'est opposée à la suspension. 8) Le 25 septembre 2019, la ville a appuyé la demande de suspension. 9) Par décision DITAI/465/2019 du 4 octobre 2019, la présidence du TAPI a ordonné la suspension de la procédure. Le rapport à rendre par le groupe d'experts mandaté par l'OFEV était de nature à influer sur la cause, ses conclusions pouvant affecter la légalité de l'autorisation querellée. 10) Le 12 mars 2020, Swisscom a demandé au TAPI la reprise de la procédure. Le rapport du groupe d'expert avait été publié sur le site de l'OFEN. Il confirmait l'état actuel de la science, soit qu'aucun effet sur la santé n'avait été prouvé en dessous des VLI. 11) Le 13 mai 2020, le DT s'est opposé à la reprise de l'instruction. Les experts n'étaient apparemment pas parvenus à se mettre d'accord sur le respect par les VLInst du principe de précaution en cas de développement des antennes de téléphonie mobile, et n'avaient pas émis de recommandations sur une éventuelle modification des VLInst, ni donné de réponse sur le principe de précaution, puisque le rapport admettait que les effets sanitaires des nouvelles fréquences utilisées pour la 5G n'étaient pas encore totalement connus. Le Conseil d'État avait prolongé le moratoire. La Confédération, cinq mois après la parution du rapport, s'était limitée à décider de la suite de la procédure, et à recommander l'adoption de mesures d'accompagnement. Le risque de décisions contradictoires subsistait, ce que Swisscom ne contestait pas. Le principe de célérité devait le céder au principe de précaution. 12) Le 15 mai 2020, la ville s'est opposée à la reprise de l'instruction. Le groupe de travail de l'OFEV n'avait pas, faute d'expertise nécessaire, pris en compte de nombreuses études préoccupantes sur l'effet du rayonnement haute fréquence. Or plusieurs menaces sur la santé étaient soit établies soit probables. Les experts préconisaient un monitoring des effets sur la santé, l'encouragement de la recherche sur les effets potentiels sur la santé et la création d'un service de consultation de médecine environnementale sur les RNI. Le Conseil fédéral avait validé ces propositions, et chargé le département fédéral de l'environnement, des transports, de l'énergie et de la communication (ci-après : DETEC) d'élaborer une aide à l'exécution sur le traitement des antennes adaptatives, après avoir réalisé des mesures d'essai afin de déterminer de manière transparente l'exposition effective de la population aux antennes. L'Organisation mondiale de la santé (ci-après : OMS) réalisait une évaluation systématique des études scientifiques parues sur la question. La reprise de l'instruction était prématurée. 13) Le 5 juin 2020, Swisscom s'est opposée au maintien de la suspension. Le principe de précaution était fixé dans l'ORNI exclusivement, et les autorités cantonales ne disposaient d'aucune marge de manoeuvre pour élaborer des dispositions visant à protéger la population contre le rayonnement des installations de téléphonie mobile. L'office fédéral de métrologie (ci-après : METAS) avait publié le 18 février 2020 la méthodologie applicable aux nouvelles fréquences 5G, laquelle péjorait le résultat des mesures de l'opérateur. L'OFEV avait adressé le 31 janvier 2020 aux cantons et aux communes des informations confirmant que rien ne s'opposait à la délivrance des permis de construire des antennes 5G. C'était le calcul du rayonnement qui était déterminant pour l'octroi du permis. L'absence de recommandation sur les mesures ne pouvait avoir d'incidence sur la validité de ce dernier. 14) Par décision du 1 er octobre 2020, le TAPI a rappelé que le motif de la suspension qu'il avait ordonnée le 4 octobre 2019 n'était plus d'actualité, le groupe d'experts fédéral ayant rendu son rapport. Plus aucune « autre procédure » au sens de l'art. 14 de la loi sur la procédure administrative du 12 septembre 1985 (LPA - E 5 10) n'était en cours, et l'instruction était reprise. 15) Par acte remis à la poste le 12 octobre 2020, la ville a recouru auprès de la chambre administrative de la Cour de justice (ci-après : la chambre administrative) contre cette décision, concluant à son annulation et au prononcé de la suspension de la procédure jusqu'à la réalisation par le DETEC de mesures d'essai déterminant de manière transparente l'exposition effective de la population aux antennes adaptatives et jusqu'à parution de l'aide à l'exécution du DETEC sur le traitement de ces antennes. Le rapport des experts fédéraux était lacunaire et ne permettait pas de conclure que les autorisations de construire des installations de téléphonie mobile respectaient le principe de précaution. La mission impartie par le Conseil fédéral au DETEC devait d'abord être accomplie. 16) Le 26 octobre 2020, Swisscom a conclu à l'irrecevabilité, subsidiairement au rejet du recours. La décision incidente ne créait pas de préjudice irréparable et l'admission du recours ne pouvait conduire immédiatement à une décision finale permettant d'éviter une procédure longue et coûteuse. Sur le fond, Swisscom a repris ses arguments. 17) Le 12 novembre 2020, le DT a conclu à l'admission du recours, reprenant ses arguments. 18) Le 17 décembre 2020, la ville a répliqué, reprenant ses arguments. 19) Le 26 janvier, les parties ont été informées que la cause était gardée à juger. Leurs argumentations seront reprises en tant que de besoin dans la partie en droit du présent arrêt. EN DROIT 1) Interjeté en temps utile, c'est-à-dire dans le délai de dix jours s'agissant d'une décision incidente (art. 4 al. 2 LPA) car prise pendant le cours de la procédure et ne représentant qu'une étape vers la décision finale ( ATA/646/2018 du 19 juin 2018 consid. 1), et devant la juridiction compétente, le recours est recevable de ces points de vue (art. 132 de la loi sur l'organisation judiciaire du 26 septembre 2010 - LOJ - E 2 05 ; art. 62 al. 1 let. b LPA). 2) En vertu de l'art. 57 let. c LPA, les décisions incidentes sont susceptibles de recours si elles peuvent causer un préjudice irréparable ou si l'admission du recours peut conduire immédiatement à une décision finale qui permet d'éviter une procédure probatoire longue et coûteuse. 3) a.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s.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 131 I 57 consid. 1 ; 129 III 107 consid. 1.2.1). La chambre administrative a précisé à plusieurs reprises que l'art. 57 let. c LPA devait être interprété à la lumière de ces principes ( ATA/663/2018 du 26 juin 2018 consid. 3c).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ATA/663/2018 précité consid. 3d ; ATA/351/2018 du 17 avril 2018 consid. 2c). b. 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de la Constitution fédérale de la Confédération suisse du 18 avril 1999 (Cst. - RS 101)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ATA/548/2017 du 16 mai 2017 consid. 2b). c. Dans une affaire dans laquelle le requérant recourait contre le refus opposé par l'autorité intimée de reprendre l'instruction de sa demande en délivrance d'une autorisation d'usage accru du domaine public en application de la loi sur les taxis et les voitures de transport avec chauffeur du 13 octobre 2016 (LTVTC - H 1 31), suspendue dans l'attente de l'issue de la procédure pénale à son encontre, la chambre administrative a admis l'existence d'un préjudice irréparable : la décision avait pour effet de priver le recourant, qui avait été autorisé dès 2013 à exploiter en qualité d'indépendant un taxi de service privé, de son emploi de chauffeur de taxi et donc de sa source de revenus ( ATA/646/2018 précité consid. 2b). 4)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 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5) En l'espèce, la suspension de l'instruction a été ordonnée à la demande du DT et avec l'appui de la ville dans l'attente d'un rapport d'experts commandé par l'OFEV. Le rapport a par la suite été publié et l'instruction a été reprise sur demande de Swisscom. La ville et le DT s'opposent à la reprise de l'instruction au motif que le rapport ne serait pas concluant, et qu'il faudrait attendre la mise en place par le DETEC des mesures ordonnées par le Conseil fédéral suite au rapport, au nom du principe de précaution. a. La ville et le DT n'exposent pas en quoi la reprise de l'instruction devant le TAPI les exposerait à un préjudice irréparable. Le fond du litige n'est pas encore tranché, et rien ne permet de conclure que le reprise de l'instruction causera à la ville, ou encore aux élèves ou aux habitants à proximité de l'installation concernée, un préjudice irréparable. Au contraire, la reprise de l'instruction doit précisément permettre aux parties de discuter les conclusions du rapport dont elles attendaient la parution, soit en premier lieu leur pertinence pour la solution au fond du litige. La ville et le DT invoquent encore le principe de précaution. C'est toutefois dans le cadre de l'instruction que le principe de précaution pourra cas échéant être invoqué, et instruit, au vu de la réglementation et des connaissances actuelles, aux fins de déterminer si l'emplacement autorisé pour l'installation de l'antenne serait susceptible de créer un danger qui ne serait cas échéant pas suffisamment pris en compte par la règlementation applicable. Maintenir la suspension de l'instruction sur la base du principe de précaution interdirait de discuter la portée et l'applicabilité de ce dernier aussi longtemps que l'état des connaissances ou de la réglementation ne serait pas jugé satisfaisant par une partie, et porterait accessoirement une atteinte au principe de célérité dont pourrait se plaindre la partie adverse. b. Compte tenu de ce qui précède, la seconde hypothèse de l'art. 57 le. c LPA n'entre pas non plus en ligne de compte. La décision que la chambre de céans est appelée à prendre n'est en aucun cas susceptible de mettre fin au litige sur le fond. En effet, si la chambre de céans décidait d'admettre le recours et de prolonger la suspension jusqu'à l'adoption par le DETEC des mesures ordonnées par le Conseil fédéral, l'instruction serait reprise par le TAPI à la survenance de cet événement et il lui resterait alors à déterminer si la délivrance de l'autorisation querellée était conforme à la loi, y compris sous l'angle éventuel du principe de précaution. Dans ces circonstances, le recours sera déclaré irrecevable. 6) Vu l'issue du litige, un émolument de CHF 500.- sera mis à la charge de la Ville de Genève (art. 87 al. 1 LPA). Aucune indemnité de procédure ne sera allouée à Swisscom (Suisse) SA qui n'indique pas avoir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