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A/2106/2003 vom 29. Januar 2004</w:t>
      </w:r>
    </w:p>
    <w:p>
      <w:r>
        <w:t>GE Cour de justice, 2004-01-29, FR</w:t>
      </w:r>
    </w:p>
    <w:p>
      <w:r>
        <w:rPr>
          <w:b/>
        </w:rPr>
        <w:t xml:space="preserve">Quelle: </w:t>
      </w:r>
      <w:r>
        <w:t>https://mcp.opencaselaw.ch/entscheid/ge_gerichte_A_2106_2003</w:t>
      </w:r>
    </w:p>
    <w:p>
      <w:r>
        <w:t>FR: GE_GERICHTE A/2106/2003 du 29 janvier 2004</w:t>
      </w:r>
    </w:p>
    <w:p>
      <w:r>
        <w:t>IT: GE_GERICHTE A/2106/2003 del 29 gennaio 2004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Que par courrier du 29 octobre 2003, la mère de l’enfant a saisi le Tribunal de céans ;</w:t>
      </w:r>
    </w:p>
    <w:p>
      <w:r>
        <w:rPr>
          <w:b/>
        </w:rPr>
        <w:t>E. 4</w:t>
      </w:r>
    </w:p>
    <w:p>
      <w:r>
        <w:t>Qu’invitée à se prononcer, la caisse-maladie, par courrier du 26 novembre 2003, a expliqué devoir se livrer à diverses investigations complémentaires ;</w:t>
      </w:r>
    </w:p>
    <w:p>
      <w:r>
        <w:rPr>
          <w:b/>
        </w:rPr>
        <w:t>E. 5</w:t>
      </w:r>
    </w:p>
    <w:p>
      <w:r>
        <w:t>Que par téléfax du 17 décembre 2003, la mère de Bastien a manifesté la volonté de retirer le recours au motif qu’un arrangement avait été trouvé avec la caisse-maladie ;</w:t>
      </w:r>
    </w:p>
    <w:p>
      <w:r>
        <w:rPr>
          <w:b/>
        </w:rPr>
        <w:t>E. 6</w:t>
      </w:r>
    </w:p>
    <w:p>
      <w:r>
        <w:t>Qu’il convient dès lors d’en prendre acte et de rayer la cause du rôle.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