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A/2105/2011 vom 27. Oktober 2011</w:t>
      </w:r>
    </w:p>
    <w:p>
      <w:r>
        <w:t>GE Cour de justice, 2011-10-27, FR</w:t>
      </w:r>
    </w:p>
    <w:p>
      <w:r>
        <w:rPr>
          <w:b/>
        </w:rPr>
        <w:t xml:space="preserve">Quelle: </w:t>
      </w:r>
      <w:r>
        <w:t>https://mcp.opencaselaw.ch/entscheid/ge_gerichte_A_2105_2011</w:t>
      </w:r>
    </w:p>
    <w:p>
      <w:r>
        <w:t>FR: GE_GERICHTE A/2105/2011 du 27 octobre 2011</w:t>
      </w:r>
    </w:p>
    <w:p>
      <w:r>
        <w:t>IT: GE_GERICHTE A/2105/2011 del 27 ottobre 2011</w:t>
      </w:r>
    </w:p>
    <w:p>
      <w:pPr>
        <w:pStyle w:val="Heading2"/>
      </w:pPr>
      <w:r>
        <w:t>Regeste</w:t>
      </w:r>
    </w:p>
    <w:p>
      <w:r>
        <w:t>Sans objet. | L'Office des poursuites a pris une nouvelle décision. | LP.17.4; LP.22.2</w:t>
      </w:r>
    </w:p>
    <w:p>
      <w:pPr>
        <w:pStyle w:val="Heading2"/>
      </w:pPr>
      <w:r>
        <w:t>Erwägungen</w:t>
      </w:r>
    </w:p>
    <w:p>
      <w:r>
        <w:rPr>
          <w:b/>
        </w:rPr>
        <w:t>E. 1</w:t>
      </w:r>
    </w:p>
    <w:p>
      <w:r>
        <w:t>En cas de plainte, l'office peut, jusqu'à l'envoi de sa réponse, procéder à un nouvel examen de la décision attaquée. S'il prend une nouvelle mesure, il la notifie sans délai aux parties et en donne connaissance à la Chambre de surveillance (art. 17 al. 4 LP). A teneur de l'art. 22 al. 2 LP, l'office peut remplacer une mesure nulle par une nouvelle mesure. Si une procédure est fondée sur l'al. 1 de cette disposition, l'office ne conserve cette compétence que jusqu'à sa réponse.</w:t>
      </w:r>
    </w:p>
    <w:p>
      <w:r>
        <w:rPr>
          <w:b/>
        </w:rPr>
        <w:t>E. 2</w:t>
      </w:r>
    </w:p>
    <w:p>
      <w:r>
        <w:t>Raye la cause A/2105/2011 du rôle.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