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A/209/2004 vom 4. Dezember 2003</w:t>
      </w:r>
    </w:p>
    <w:p>
      <w:r>
        <w:t>GE Cour de justice, 2003-12-04, FR</w:t>
      </w:r>
    </w:p>
    <w:p>
      <w:r>
        <w:rPr>
          <w:b/>
        </w:rPr>
        <w:t xml:space="preserve">Quelle: </w:t>
      </w:r>
      <w:r>
        <w:t>https://mcp.opencaselaw.ch/entscheid/ge_gerichte_A_209_2004</w:t>
      </w:r>
    </w:p>
    <w:p>
      <w:r>
        <w:t>FR: GE_GERICHTE A/209/2004 du 4 décembre 2003</w:t>
      </w:r>
    </w:p>
    <w:p>
      <w:r>
        <w:t>IT: GE_GERICHTE A/209/2004 del 4 dicembre 2003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15.04.2004 A/209/2004</w:t>
      </w:r>
    </w:p>
    <w:p>
      <w:r>
        <w:t>A/209/2004 ATAS/254/2004 du 15.04.2004 ( AVS ) , RETIRE RÉPUBLIQUE ET CANTON DE GENÈVE POUVOIR JUDICIAIRE A/209/2004 ATAS/254/2004 ARRET DU TRIBUNAL CANTONAL DES ASSURANCES SOCIALES 5 ème chambre du 15 avril 2004 En la cause Monsieur P__________ , comparant par Me Claude ABERLE en l’étude duquel il élit domicile recourant contre CAISSE CANTONALE GENEVOISE DE COMPENSATION , route de Chêne 54, case postale 360, 1211 Genève 29 intimée Vu la décision sur opposition du 23 janvier 2004 de la Caisse cantonale genevoise de compensation (ci-après : la Caisse), par laquelle celle-ci a rejeté l’opposition de Monsieur P__________ contre sa décision du 4 décembre 2003 lui réclamant, à titre de cotisations, un montant de 1'377 fr. 05 ; Vu le recours de l’assuré du 4 février 2004 contre cette décision sur opposition, dans lequel il conclut à l’annulation de celle-ci et à ce que la Caisse soit invitée à produire un calcul intelligible quant au montant des cotisations réclamées et à la période pour laquelle elles sont dues ; Vu la détermination du 10 mars 2004 de la Caisse concluant au rejet du recours, après avoir expliqué dans les détails son décompte du 4 décembre 2004 ; Vu la lettre du 25 mars 2004 du recourant représenté par son conseil, par laquelle celui-ci retire son recours. PAR CES MOTIFS, LE TRIBUNAL CANTONAL DES ASSURANCES SOCIALES : statuant conformément à la disposition transitoire de l’art. 162 LOJ Prend acte du retrait du recours ; Raye la cause du rôle. La greffière : Yaël BENZ La Présidente : Maya CRAMER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