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A/2094/2005 vom 30. August 2005</w:t>
      </w:r>
    </w:p>
    <w:p>
      <w:r>
        <w:t>GE Cour de justice, 2005-08-30, FR</w:t>
      </w:r>
    </w:p>
    <w:p>
      <w:r>
        <w:rPr>
          <w:b/>
        </w:rPr>
        <w:t xml:space="preserve">Quelle: </w:t>
      </w:r>
      <w:r>
        <w:t>https://mcp.opencaselaw.ch/entscheid/ge_gerichte_A_2094_2005</w:t>
      </w:r>
    </w:p>
    <w:p>
      <w:r>
        <w:t>FR: GE_GERICHTE A/2094/2005 du 30 août 2005</w:t>
      </w:r>
    </w:p>
    <w:p>
      <w:r>
        <w:t>IT: GE_GERICHTE A/2094/2005 del 30 agosto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Invité par le greffe du Tribunal administratif à produire une écriture rédigée en langue française, M. G__________ s’est exécuté le 27 juin 2005.</w:t>
      </w:r>
    </w:p>
    <w:p>
      <w:r>
        <w:rPr>
          <w:b/>
        </w:rPr>
        <w:t>E. 5</w:t>
      </w:r>
    </w:p>
    <w:p>
      <w:r>
        <w:t>Le recours sera ainsi déclaré irrecevable et la cause renvoyée au service pour qu’il le traite comme une réclamation, en application de l’article 64 alinéa 2 de la loi sur la procédure administrative du 12 septembre 1985 (LPA - E 5 10).</w:t>
      </w:r>
    </w:p>
    <w:p>
      <w:r>
        <w:rPr>
          <w:b/>
        </w:rPr>
        <w:t>E. 6</w:t>
      </w:r>
    </w:p>
    <w:p>
      <w:r>
        <w:t>Vu l’issue du litige, il ne sera pas perçu d’émolument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