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A/2090/2015 vom 11. September 2015</w:t>
      </w:r>
    </w:p>
    <w:p>
      <w:r>
        <w:t>GE Cour de justice, 2015-09-11, FR</w:t>
      </w:r>
    </w:p>
    <w:p>
      <w:r>
        <w:rPr>
          <w:b/>
        </w:rPr>
        <w:t xml:space="preserve">Quelle: </w:t>
      </w:r>
      <w:r>
        <w:t>https://mcp.opencaselaw.ch/entscheid/ge_gerichte_A_2090_2015</w:t>
      </w:r>
    </w:p>
    <w:p>
      <w:r>
        <w:t>FR: GE_GERICHTE A/2090/2015 du 11 septembre 2015</w:t>
      </w:r>
    </w:p>
    <w:p>
      <w:r>
        <w:t>IT: GE_GERICHTE A/2090/2015 del 11 settembre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11.09.2015 A/2090/2015</w:t>
      </w:r>
    </w:p>
    <w:p>
      <w:r>
        <w:t>A/2090/2015 ATAS/695/2015 du 11.09.2015 ( AI ) , RETIRE rÉpublique et canton de genÈve POUVOIR JUDICIAIRE A/2090/2015 ATAS/695/2015 COUR DE JUSTICE Chambre des assurances sociales Arrêt du 11 septembre 2015 3 ème Chambre En la cause Monsieur A______, domicilié à GENEVE recourant contre OFFICE DE L'ASSURANCE-INVALIDITE DU CANTON DE GENEVE, Service juridique, sis rue des Gares 12, GENEVE intimé Vu la décision rendue le 18 mai 2015 par l’office de l’assurance-invalidité du canton de Genève (ci-après : l’OAI), niant à Monsieur A______ (ci-après : le recourant) le droit à toute prestation ; Vu le recours interjeté par l’assuré le 17 juin 2015 ; Vu la réponse du 14 juillet 2014 de l’OAI, concluant au rejet du recours et à la confirmation de la décision attaquée ; Vu le courrier du recourant du 4 septembre 2015 indiquant qu’il souhaitait retirer son recours ; Qu'il convient d'en prendre acte et de rayer la cause du rôle. PAR CES MOTIFS, LA CHAMBRE DES ASSURANCES SOCIALES : 1.        Prend acte du retrait du recours.![endif]&gt;![if&gt; 2.        Raye la cause du rôle.![endif]&gt;![if&gt; 3.        Renonce à percevoir l’émolument. ![endif]&gt;![if&gt; La greffière Marie-Catherine SECHAUD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