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A/2090/2012 vom 22. August 2012</w:t>
      </w:r>
    </w:p>
    <w:p>
      <w:r>
        <w:t>GE Cour de justice, 2012-08-22, FR</w:t>
      </w:r>
    </w:p>
    <w:p>
      <w:r>
        <w:rPr>
          <w:b/>
        </w:rPr>
        <w:t xml:space="preserve">Quelle: </w:t>
      </w:r>
      <w:r>
        <w:t>https://mcp.opencaselaw.ch/entscheid/ge_gerichte_A_2090_2012</w:t>
      </w:r>
    </w:p>
    <w:p>
      <w:r>
        <w:t>FR: GE_GERICHTE A/2090/2012 du 22 août 2012</w:t>
      </w:r>
    </w:p>
    <w:p>
      <w:r>
        <w:t>IT: GE_GERICHTE A/2090/2012 del 22 agosto 2012</w:t>
      </w:r>
    </w:p>
    <w:p>
      <w:pPr>
        <w:pStyle w:val="Heading2"/>
      </w:pPr>
      <w:r>
        <w:t>Erwägungen</w:t>
      </w:r>
    </w:p>
    <w:p>
      <w:r>
        <w:rPr>
          <w:b/>
        </w:rPr>
        <w:t>E. 4</w:t>
      </w:r>
    </w:p>
    <w:p>
      <w:r>
        <w:t>ème Chambre En la cause Madame G___________, domiciliée c/o Monsieur H___________, à Veyrier recourante contre CAISSE CANTONALE GENEVOISE DE COMPENSATION, SERVICE CANTONAL D'ALLOCATIONS FAMILIALES, sise route de Chêne 54, 1208 Genève intimée EN FAIT Madame G___________ (ci-après l’intéressée ou la recourante), employée de maison, célibataire, de nationalité bolivienne, a déposé en date du 16 avril 2012 auprès de la CAISSE CANTONALE GENEVOISE DE COMPENSATION, Service cantonal d’allocations familiales (ci-après la caisse) une demande d’allocations familiales pour sa fille, née en 1997, avec effet rétroactif au 1 er avril 2007. Elle a expliqué que ses précédents employeurs ne lui avaient jamais versé les allocations familiales auxquelles elle avait droit. Sans réponse de la caisse, l’intéressée lui a adressé un courrier recommandé le 2 juin 2012, l’invitant à statuer sur sa demande d’ici le 14 juin 2012, à défaut de quoi elle saisira l’instance juridique compétente pour déni de justice et retard injustifié. Par acte du 8 juillet 2012, l’intéressée a saisi la Cour de céans d’un recours pour déni de justice, concluant à ce qu’il soit ordonné à la caisse de statuer sans délai sur sa demande. Dans sa réponse du 3 août 2012, la caisse expose qu’après avoir réceptionné la demande, cette dernière a été adressée au service « support prestations » du Service cantonal d’allocations familiales (ci-après SCAF). Constatant que la demande était incomplète, notamment en ce qui concerne les anciens employeurs de la recourante, le collaborateur du SCAF a tenté de prendre contact avec elle sur son numéro de portable. Nonobstant plusieurs appels téléphoniques, la recourante n’y a donné aucune suite. En l’absence de renseignements plus précis et ne pouvant déterminer si elle était compétente pour verser les allocations familiales rétroactivement, la caisse a déclenché la procédure de rassemblement des comptes individuels retraçant la carrière d’assurée de l’intéressée afin d’identifier ses employeurs successifs, ce qui prend un certain temps. Se pose aussi la question du domicile de la recourante et de sa fille. L’intimée rappelle qu’elle gère quatre caisses d’allocations familiales. Au surplus, il s’avère qu’elle doit procéder à l’affiliation de l’employeur de la recourante. La caisse soutient que la recourante aurait pu hâter le traitement de son dossier en prenant contact avec elle soit par téléphone, soit en se présentant au guichet. Selon la caisse, le recours pour déni de justice participe d’une singulière légèreté. Elle conclut à l’irrecevabilité du recours, subsidiairement à son rejet et au renvoi de l’affaire afin qu’elle poursuive l’instruction de la demande de prestation. Sur quoi, la cause a été gardée à juger. Par écriture du 18 août 2012, la recourante a conclu au maintien de son recours pour déni de justice, faisant valoir que ce dernier était parfaitement justifié dans la mesure où la caisse n’avait pas réagi à ses courriers recommandés des 16 avril et 3 juin 2012 mais seulement après le dépôt de son recours. Cette écriture a été communiquée à la caisse pour information avec l’indication que l’arrêt de la Cour suivra.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La recourante invoque un déni de justice. 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En l’espèce, la Cour de céans constate qu’après réception de la demande de prestations, l’intimée n’a adressé aucun courrier à la recourante, pas même un accusé de réception. Elle aurait apparemment tenté de la joindre par téléphone, en laissant des messages sur le répondeur. N’ayant pas reçu de réponse, l’intimée aurait alors entamé la procédure de rassemblement des comptes individuels, afin d’identifier ses employeurs. L’intimée considère qu’en interjetant recours pour déni de justice, l’intéressée témoigne de légèreté. Ce grief est infondé. En effet, dès lors que la recourante n’a pu être jointe par téléphone, il appartenait à l’intimée - à tout le moins - de lui adresser un courrier, l’invitant à lui communiquer tous les renseignements utiles relatifs à ses anciens employeurs et à son domicile, ou de prendre contact avec elle dans les meilleurs délais, ce qui aurait assurément contribué à l’accélération du traitement du dossier. Force est de constater au surplus que l’intimée n’a jamais informé la recourante de la procédure qu’elle a entamée, ce qui apparaît surprenant. Cela étant, nonobstant ces manquements administratifs, l’on ne peut à ce stade reprocher à l’intimée d’avoir commis un déni de justice. Il incombera ainsi à l’intimée de poursuivre l’instruction de la demande et de tenir régulièrement la recourante informée des résultats de ses investigations. PAR CES MOTIFS, LA CHAMBRE DES ASSURANCES SOCIALES : Statuant A la forme : Déclare le recours recevable. Au fond : Le rejette dans le sens des considérants.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