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A/2090/2011 vom 24. August 2011</w:t>
      </w:r>
    </w:p>
    <w:p>
      <w:r>
        <w:t>GE Cour de justice, 2011-08-24, FR</w:t>
      </w:r>
    </w:p>
    <w:p>
      <w:r>
        <w:rPr>
          <w:b/>
        </w:rPr>
        <w:t xml:space="preserve">Quelle: </w:t>
      </w:r>
      <w:r>
        <w:t>https://mcp.opencaselaw.ch/entscheid/ge_gerichte_A_2090_2011</w:t>
      </w:r>
    </w:p>
    <w:p>
      <w:r>
        <w:t>FR: GE_GERICHTE A/2090/2011 du 24 août 2011</w:t>
      </w:r>
    </w:p>
    <w:p>
      <w:r>
        <w:t>IT: GE_GERICHTE A/2090/2011 del 24 agosto 2011</w:t>
      </w:r>
    </w:p>
    <w:p>
      <w:pPr>
        <w:pStyle w:val="Heading2"/>
      </w:pPr>
      <w:r>
        <w:t>Volltext</w:t>
      </w:r>
    </w:p>
    <w:p>
      <w:r>
        <w:t>Genève Cour de justice (Cour de droit public) Chambre des assurances sociales 24.08.2011 A/2090/2011</w:t>
      </w:r>
    </w:p>
    <w:p>
      <w:r>
        <w:t>A/2090/2011 ATAS/769/2011 du 24.08.2011 ( AI ) , ADMIS RÉPUBLIQUE ET CANTON DE GENÈVE POUVOIR JUDICIAIRE A/2090/2011 ATAS/769/2011 COUR DE JUSTICE Chambre des assurances sociales Arrêt du 24 août 2011 4 ème Chambre En la cause Monsieur K__________, domicilié à Genève recourant contre OFFICE DE L'ASSURANCE-INVALIDITE DU CANTON DE GENEVE, sis rue de Lyon 97, 1203 Genève intimé Vu la décision de l’Office cantonal de l’assurance-invalidité (ci-après : l’OAI ou l’intimé) du 27 juin 2011 rejetant la demande de prestations déposée par Monsieur K__________ (ci-après : l’assuré); Vu le recours interjeté par l’assuré le 5 juillet 2011, complété le 14 juillet 2011 ; Vu la réponse de l’OAI du 12 août 2011 concluant, sur la base de l’avis du SMR du 12 août 2011, au renvoi de la cause pour investigations complémentaires sur le plan médical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l’intimé propose le renvoi de la cause pour instruction complémentaire ; Qu’il convient par conséquent d’admettre le recours et de renvoyer la cause à l’intimé ; PAR CES MOTIFS, LA CHAMBRE DES ASSURANCES SOCIALES : Statuant A la forme : Déclare le recours recevable. Au fond : L’admet et annule la décision de l’intimé du 27 juin 2011. Renvoie la cause à l’intimé pour instruction complémentaire et nouvelle décision.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