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A/2090/2005 vom 10. Mai 2005</w:t>
      </w:r>
    </w:p>
    <w:p>
      <w:r>
        <w:t>GE Cour de justice, 2005-05-10, FR</w:t>
      </w:r>
    </w:p>
    <w:p>
      <w:r>
        <w:rPr>
          <w:b/>
        </w:rPr>
        <w:t xml:space="preserve">Quelle: </w:t>
      </w:r>
      <w:r>
        <w:t>https://mcp.opencaselaw.ch/entscheid/ge_gerichte_A_2090_2005</w:t>
      </w:r>
    </w:p>
    <w:p>
      <w:r>
        <w:t>FR: GE_GERICHTE A/2090/2005 du 10 mai 2005</w:t>
      </w:r>
    </w:p>
    <w:p>
      <w:r>
        <w:t>IT: GE_GERICHTE A/2090/2005 del 10 maggio 2005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Le recours sera ainsi déclaré irrecevable pour cause de tardiveté (art. 72 LPA).</w:t>
      </w:r>
    </w:p>
    <w:p>
      <w:r>
        <w:rPr>
          <w:b/>
        </w:rPr>
        <w:t>E. 3</w:t>
      </w:r>
    </w:p>
    <w:p>
      <w:r>
        <w:t>Vu l’issue du litige, un émolument de procédure de CHF 300.- sera mis à la charge du recourant (art. 87 LPA).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