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A/2089/2009 vom 6. August 2009</w:t>
      </w:r>
    </w:p>
    <w:p>
      <w:r>
        <w:t>GE Cour de justice, 2009-08-06, FR</w:t>
      </w:r>
    </w:p>
    <w:p>
      <w:r>
        <w:rPr>
          <w:b/>
        </w:rPr>
        <w:t xml:space="preserve">Quelle: </w:t>
      </w:r>
      <w:r>
        <w:t>https://mcp.opencaselaw.ch/entscheid/ge_gerichte_A_2089_2009</w:t>
      </w:r>
    </w:p>
    <w:p>
      <w:r>
        <w:t>FR: GE_GERICHTE A/2089/2009 du 6 août 2009</w:t>
      </w:r>
    </w:p>
    <w:p>
      <w:r>
        <w:t>IT: GE_GERICHTE A/2089/2009 del 6 agosto 2009</w:t>
      </w:r>
    </w:p>
    <w:p>
      <w:pPr>
        <w:pStyle w:val="Heading2"/>
      </w:pPr>
      <w:r>
        <w:t>Regeste</w:t>
      </w:r>
    </w:p>
    <w:p>
      <w:r>
        <w:t>Conversison de séquestre; Saisie de salaire; Obligation d'entretien.. | Plainte rejetée. Une mère vivant avec son fils majeur âgé de 29 ans, sans emploi, ne forme pas une communauté domestique. Même si ce fils souffre de schizophrènie qu'il n'a pas de revenu minimum du fait qu'il vit chez sa mère et qu'il souhaiterait subir une peine ferme d'emprisonnement à domicile, cela ne constitue pas une obligation d'entretien au sens de l'art. 328 CC. | CC.328; LP.93</w:t>
      </w:r>
    </w:p>
    <w:p>
      <w:pPr>
        <w:pStyle w:val="Heading2"/>
      </w:pPr>
      <w:r>
        <w:t>Erwägungen</w:t>
      </w:r>
    </w:p>
    <w:p>
      <w:r>
        <w:rPr>
          <w:b/>
        </w:rPr>
        <w:t>E. 6</w:t>
      </w:r>
    </w:p>
    <w:p>
      <w:r>
        <w:t>La procédure de plainte est gratuite (art. 20a al. 2 ch. 5 LP ; art. 61 al. 2 let. a OELP). * * * * * PAR CES MOTIFS, LA COMMISSION DE SURVEILLANCE SIÉGEANT EN SECTION : A la forme : Déclare recevable la plainte formée le 16 juin 2009 par Mme F______ contre le procès-verbal de saisie n° 08 xxxx64 P. Au fond : 1. La rejette. 2. Déboute les parties de toutes autres conclusions. Siégeant : M. Philippe GUNTZ, président ;  Mme Valérie CARERA, juge assesseure et M. Olivier WEHRLI, juge assesseur.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