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A/2079/2014 vom 1. Juli 2015</w:t>
      </w:r>
    </w:p>
    <w:p>
      <w:r>
        <w:t>GE Cour de justice, 2015-07-01, FR</w:t>
      </w:r>
    </w:p>
    <w:p>
      <w:r>
        <w:rPr>
          <w:b/>
        </w:rPr>
        <w:t xml:space="preserve">Quelle: </w:t>
      </w:r>
      <w:r>
        <w:t>https://mcp.opencaselaw.ch/entscheid/ge_gerichte_A_2079_2014</w:t>
      </w:r>
    </w:p>
    <w:p>
      <w:r>
        <w:t>FR: GE_GERICHTE A/2079/2014 du 1 juillet 2015</w:t>
      </w:r>
    </w:p>
    <w:p>
      <w:r>
        <w:t>IT: GE_GERICHTE A/2079/2014 del 1 luglio 2015</w:t>
      </w:r>
    </w:p>
    <w:p>
      <w:pPr>
        <w:pStyle w:val="Heading2"/>
      </w:pPr>
      <w:r>
        <w:t>Erwägungen</w:t>
      </w:r>
    </w:p>
    <w:p>
      <w:r>
        <w:rPr>
          <w:b/>
        </w:rPr>
        <w:t>E. 4</w:t>
      </w:r>
    </w:p>
    <w:p>
      <w:r>
        <w:t>janvier 2013 selon lequel, après analyse du rapport d’expertise, l’incapacité de travail était totale dans toute activité dès le 21 juillet 2006, mais que dans une activité adaptée, la capacité de travail était de 60 % dès le 2 novembre 2011. S’élevant à 37 %, son degré d’invalidité ne permettait plus le maintien de la rente.![endif]&gt;![if&gt; 32.    Représentée par son avocat, l’assurée a interjeté recours le 10 juillet 2014, concluant à l’annulation de la décision en tant qu’elle limitait le droit à une rente entière d’invalidité au 31 janvier 2012. Contestant l’appréciation faite par le SMR, elle a soutenu que l’amélioration de son état de santé dès le 31 janvier 2012 était purement imaginaire. Les experts mandatés par l’intimé avaient admis une invalidité totale dès le 21 juillet 2007, soit après le délai légal d’attente d’un an, avant de la réduire de façon incompréhensible à 37 % suite à une amélioration purement imaginaire de son état de santé. Se référant aux rapports circonstanciés des Drs H______ et C______, elle considérait être invalide à 100 % déjà sur le plan somatique. Pour le surplus, elle a relevé que le rapport d’expertise de la CRR concluait que sur le plan psychiatrique, elle était totalement incapable d’exercer la moindre activité, ce qui avait été confirmé par le rapport d’évaluation du stage. Enfin, la position de la Dresse M______, interpellée par l’intimé, était totalement incompréhensible et incohérente. ![endif]&gt;![if&gt; 33.    Dans sa réponse du 11 août 2014, l’intimé a indiqué qu’il s’était fondé sur l’expertise du CRR, qui remplissait toutes les conditions permettant de lui conférer pleine valeur probante. Sur le plan psychiatrique, les conclusions de l’expert, qui retenait une incapacité de travail de 40 %, étaient claires et bien motivées. Les éléments apportés par la recourante ne permettaient pas de faire une appréciation différente du cas, de sorte que l’intimé a conclu au rejet du recours. ![endif]&gt;![if&gt; 34.    Par réplique du 28 août 2014, la recourante a persisté dans ses conclusions, faisant valoir que si les experts de la CRR n’avaient pas contesté les diagnostics posés par le Dr H______, leur erreur était d’avoir minimisé de manière incompréhensible l’importance et les douleurs résultant des diagnostics en question. En outre, l’évolution clinique très défavorable, intervenue depuis l’expertise et attestée par le Dr H______ le 24 juin 2014, la rendait non seulement incapable de reprendre son activité dans la restauration, elle faisait également obstacle à l’exercice d’une activité adaptée, surtout en raison de malaises et de chutes fréquentes (pièce 5 recourante). Sur le plan psychiatrique, elle contestait l’appréciation de la Dresse M______ qui avait modifié ses conclusions suite à l’expertise. ![endif]&gt;![if&gt; 35.    Le 2 septembre 2014, la chambre de céans a informé les parties que la cause était gardée à juger. ![endif]&gt;![if&gt; 36.    Par courrier du 6 février 2015, la chambre de céans s’est adressée à la Dresse M______ en lui rappelant ses appréciations successives des 2 novembre 2011, 21 mars et 23 novembre 2012. Au regard de celles-ci, elle l’a invitée à motiver, du point de vue médical, la modification de ses conclusions, à savoir le passage d’une capacité de travail de 50% au moins dans un environnement protégé (cf. rapport d’expertise psychiatrique du 2 novembre 2011) à une capacité de travail de 60% dans une activité adaptée sur le premier marché du travail (cf. courrier du 23 novembre 2012). Par ailleurs, dans la mesure où la Dresse M______ avait mentionné, en date du 21 mars 2012, que les critères de gravité établis pour le trouble somatoforme persistant n’étaient pas transposables à un autre diagnostic, la chambre de céans l’a également invitée à indiquer sur quels critères précis elle s’était fondée pour affirmer, le 23 novembre 2012, que les critères de gravité n’étaient pas remplis.![endif]&gt;![if&gt; 37.    Le 20 février 2015, la Dresse M______ a mentionné, concernant le premier point, qu’il s’agissait d’une « maladresse » d’avoir retenu un taux de 40% d’incapacité de travail dans sa réponse du 23 novembre 2012 plutôt que de reprendre la formulation employée dans son rapport du 2 novembre 2011, qui faisait état d’une capacité de 50% au moins. Cependant, sur le plan médical, il n’y avait pas de différence significative entre une capacité de 50% au moins et une incapacité de 40%, ce à plus forte raison que dans le cadre de mesures mises en œuvre dans un environnement protégé, la recourante devrait être soumise régulièrement à des réévaluations, tant par le personnel encadrant les mesures de réinsertion que par le psychiatre traitant.![endif]&gt;![if&gt; Pour le surplus, la Dresse M______ a indiqué en substance qu’il était erroné de lui faire dire ce qu’elle n’avait pas dit, à savoir que la capacité de travail de 60% se rapportait à une activité adaptée sur le premier marché du travail. En effet, son courrier 23 novembre 2012 ne mentionnait nullement ce dernier élément. Même sans l’avoir reprécisé, cette capacité de travail de 60% était valable dans le contexte de mesures de réinsertion professionnelle, par l’intermédiaire d’activités dans un environnement protégé, associées à un traitement psychiatrique et psychothérapeutique intégré, comme elle l’avait souligné dans les conclusions du rapport d’expertise du 2 novembre 2011. S’agissant de la deuxième question, la Dresse M______ a répondu que de son point de vue médical, les critères de gravité du trouble somatoforme n’étaient pas transposables tels quels à un autre diagnostic psychiatrique. Du reste, elle s’était déjà prononcée en ce sens dans sa réponse à l’OAI du 21 mars 2012. Cependant, après avoir pris connaissance de l’arrêt du Tribunal fédéral cité dans le courrier de l’OAI du 26 juillet 2012, lequel assimilait les troubles de conversion aux troubles somatoformes, elle avait reconsidéré sa réponse du 12 mars 2012 en se fondant sur les critères applicables à ces derniers, à savoir que l’effort de volonté était non exigible dans des cas exceptionnels, soit par la présence d’une comorbidité psychiatrique d’une acuité et d’une durée importante, soit par le cumul d’autres critères présentant une certaine acuité et constance, ces autres critères étant : -          Affection corporelle chronique ou processus maladif s’étendant sur plusieurs années sans rémission durable ;![endif]&gt;![if&gt; -          Perte d’intégration sociale dans toutes les manifestations de la vie ;![endif]&gt;![if&gt; -          État psychique cristallisé sans évolution possible au plan thérapeutique marquant simultanément l’échec et la libération du processus de résolution du conflit psychique (profit primaire de la maladie) ;![endif]&gt;![if&gt; -          Échec de traitements ambulatoires ou stationnaires conformes aux règles de l’art et de mesures de réhabilitation, cela en dépit de la motivation et des efforts de la personne assurée pour surmonter les effets des troubles somatoformes douloureux. ![endif]&gt;![if&gt; Comme elle l’avait déjà formulé dans son rapport du 23 novembre 2011, ces critères n’étaient pas remplis pour la recourante. 38.    À la lumière des réponses données par la Dresse M______ aux questions de la chambre de céans, le SMR a considéré par avis du 4 mars 2015 que si les troubles psychiques de la recourante n’étaient pas incapacitants, faute de remplir les critères de sévérité, ils ne pouvaient pas être pris en compte par l’OAI. Dès lors, il n’était pas possible d’envisager l’exercice d’une activité uniquement dans un environnement protégé. Ainsi, les précisions données le 20 février 2015 par la Dresse M______ permettaient de confirmer les précédentes conclusions du SMR.![endif]&gt;![if&gt; 39.    Par acte du 12 mars 2015, l’intimé a estimé qu’il convenait de nier chez la recourante l’existence d’une comorbidité psychiatrique d’une acuité et d’une durée suffisamment importantes pour admettre qu’un effort de volonté en vue de surmonter la douleur et de réintégrer un processus de travail ne fût pas exigible de sa part. En effet, la Dresse M______ avait confirmé que le trouble de la personnalité présenté par l’intéressée n’était pas incapacitant. D’autre part, le diagnostic de trouble dépressif récurrent était considéré comme étant en rémission et sans influence sur la capacité de travail. Enfin, la recourante ne réunissait pas en sa personne plusieurs des critères jurisprudentiels pour apprécier le caractère invalidant des troubles somatoformes douloureux, applicables par analogie au cas d’espèce. Partant, c’est bien une pleine capacité de travail, et non seulement une capacité de travail réduite à 60% qui était raisonnablement exigible dans le cas de la recourante.![endif]&gt;![if&gt; 40.    Dans ses observations datées du même jour, la recourante a rappelé que la Dresse M______ avait indiqué, dans son expertise du 2 novembre 2012, que le trouble de la personnalité – histrionique – n’avait en soi pas de valeur incapacitante, mais prédisposait aux épisodes de dissociations et à l’expression douloureuse et entraînait des obstacles à une activité professionnelle. ![endif]&gt;![if&gt; À la lumière de cette première appréciation de l’experte psychiatre, la recourante a soutenu que les facteurs de « personnalité histrionique » d’une part, et de « trouble dissociatif moteur et sensoriel » d’autre part, formaient un tout indissociable entraînant une incapacité de travail totale dans une activité ordinaire sur le premier marché du travail et une incapacité de travail de 50% dans une activité en environnement protégé. Enfin, le revirement opéré par la Dresse M______ à l’invite de l’OAI, sur la base des critères jurisprudentiels applicables aux troubles somatoformes douloureux, ne résistait pas à l’examen. En effet, on se trouvait indéniablement en présence d’une situation psychiatrique pour laquelle un effort de volonté n’était absolument pas exigible. 41.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 er janvier 2008, respectivement 2012,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À titre liminaire, il y a lieu de déterminer l’objet du litige.![endif]&gt;![if&gt;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refuse à la recourante aussi bien le droit à des mesures professionnelles que celui à une rente d’invalidité au-delà du 31 janvier 2012. Cela étant, le recours dont est saisi la chambre de céans ne concerne que le refus d’octroyer une rente au-delà de cette date. Partant, l’objet du litige ne porte que sur cet aspect de la contestation, singulièrement sur la survenance (ou non) d’une amélioration de l’état de santé de la recourante en novembre 2011. 6.        Il convient de relever préalablement que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 a al. 1 RAI (ATF 125 V 417 consid. 2d; RCC 1984 p. 137). Selon cette disposition, dans sa teneur en vigueur dès le 1 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![endif]&gt;![if&gt; Par ailleurs,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ss consid. 2; VSI 2001 p. 156 consid. 1). 7.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 au syndrome de fatigue chronique (arrêt du Tribunal fédéral 9C_662/2009 du 17 août 2010 consid. 2.3), de neurasthénie (arrêt du Tribunal fédéral des assurances I 70/07 du 14 avril 2008, consid. 5), d'anesthésie dissociative et d'atteintes sensorielles (arrêt du Tribunal fédéral des assurances I 9/07 du 9 février 2007, consid. 4) ainsi qu'en matière de troubles moteurs dissociatifs (arrêt du Tribunal fédéral 9C_903/2007 du 30 avril 2008 consid. 3.4) et de traumatisme du type "coup du lapin" (ATF 136 V 279 consid. 3.2.3). ![endif]&gt;![if&gt;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131 V 49 consid. 1.2). À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b) Le Tribunal fédéral a confirmé que les troubles somatoformes douloureux, la fibromyalgie ainsi que les troubles moteurs dissociatifs ont ceci de commun qu’ils génèrent des symptômes ne se rattachant pas à une lésion organique ou structurelle. À cela s’ajoute le fait que tant l’anesthésie dissociative et les atteintes sensorielles (F44.6) que les troubles moteurs dissociatifs (F44.4) sont classés parmi les troubles dissociatifs [de conversion] (F44.-). Rappelant qu’il avait déjà admis l’applicabilité de sa jurisprudence constante en matière de troubles somatoformes douloureux aux cas d’anesthésie dissociative et atteintes sensorielles (F44.6) (cf. arrêt du Tribunal fédéral I 9/07 du 9 février 2007 consid. 4), le Tribunal fédéral a considéré que le fait de réserver le même traitement juridique aux troubles moteurs dissociatifs était également correct sous l’angle de la classification internationale des maladies (CIM-10 ; Arrêt du Tribunal fédéral 9C_903/2007 du 30 avril 2008 consid. 3.4). On relèvera cependant que si dans le dernier arrêt cité, l’assuré souffrait certes de troubles moteurs dissociatifs à la colonne cervicale, il ne présentait ni comorbidité psychiatrique, ni affection corporelle chronique (consid. 5). Il en va de même dans l’arrêt I 9/07 précité, en ce sens qu’il n’y était pas fait mention d’un diagnostic autre qu’une anesthésie dissociative et atteintes sensorielles d’un point de vue psychiatrique. Dans un arrêt plus récent, le Tribunal fédéral a estimé, dans le cas d’une assurée atteinte de fibromyalgie, qu’on ne pouvait qualifier de comorbidité psychiatrique importante la dysthymie et la personnalité à traits histrioniques qui complétaient la liste des diagnostics posés. Le Tribunal fédéral a ajouté qu’il n’y avait pas lieu de s’écarter de cette appréciation portée par les premiers juges, puisque ni la dysthymie ni les traits de la personnalité relevés par le psychiatre ne présentaient un caractère de gravité tel qu’ils devaient être assimilés à de véritables atteintes à la santé psychique. En effet, ce praticien avait indiqué que seul persistait « tout au plus un très léger fond dysthymique sub-clinique, tandis que les traits de personnalité histrionique « décompensés » relevaient non pas d’un grave trouble de la personnalité hystérique, mais d’un « aménagement assez réussi permettant à l’intéressée de fonctionner » (arrêt du Tribunal fédéral 9C_683/2008 du 25 février 2009 consid. 3.2.2). En revanche, le Tribunal fédéral a considéré qu’il était douteux que les critères jurisprudentiels en matière de troubles somatoformes douloureux puissent être appliqués dans le cadre de troubles dissociatifs de conversion mixtes. En effet, le psychiatre du COMAI avait estimé que ce dernier diagnostic se distinguait de celui de troubles somatoformes douloureux sous plusieurs aspects. D’autre part, selon le Tribunal fédéral, il était non moins douteux que les critères précités aient vocation à s’appliquer pour évaluer non pas les répercussions de l’atteinte à la santé sur la capacité de travail de l’assurée du point de vue du droit à une rente d’invalidité, mais sur l’aptitude de celle-ci à effectuer les actes de la vie quotidienne sous l’angle du droit à une allocation pour impotent. Cela étant, le jugement cantonal entrepris n’apparaissait pas contraire au droit en tant qu’il reconnaissait le droit à une allocation pour impotent. En effet, indépendamment de l’examen des critères jurisprudentiels précités, la juridiction cantonale avait retenu que le caractère invalidant de l’atteinte à la santé présentée par l’assurée – trouble de conversion – n’était pas contesté, puisque celle-ci avait été mise au bénéfice d’une rente entière de l’assurance-invalidité, compte tenu d’une incapacité de travail totale de travail dans toute activité et d’une incapacité non moins totale d’effectuer les tâches ménagères (arrêt du Tribunal fédéral 9C_676/2008 du 12 janvier 2009 consid. 4.3.1 à 4.3.3). Enfin, dans un autre cas, le Tribunal fédéral a également laissé ouverte la question de l’applicabilité de la jurisprudence en matière de troubles somatoformes douloureux à des troubles dissociatifs de conversion mixtes dès lors que l'impression clinique de l’expert psychiatre avait déjà permis à celui-ci de conclure à l'existence d'une pleine capacité de travail (arrêt du Tribunal fédéral 9C_573/2009 du 16 décembre 2009 consid. 2.3). 10.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11.    En l’espèce, la recourante conteste la suppression de la rente au 31 janvier 2012, motif pris qu’il n’y a pas eu d’amélioration de son état de santé. L’intimé, quant à lui se fonde sur l’expertise de la CRR de 2011 et les rapports du SMR pour justifier sa décision.![endif]&gt;![if&gt; Dans la mesure où l’intimé a octroyé à la recourante une rente d’invalidité avec effet rétroactif et, en même temps, l’a supprimée, il s’agit d’un cas de révision. Par conséquent, les conditions d’une révision de la rente doivent être remplies : il faut en particulier que le taux d’invalidité de la recourante ait subi une modification notable entre le moment de l’attribution et le moment de la suppression. 12.    a) La recourante présente diverses atteintes à la santé qui ont fait l’objet d’investigations médicales et, notamment, d’une expertise pluridisciplinaire par la CRR.![endif]&gt;![if&gt; La recourante a été examinée en date des 25 et 26 octobre 2011 par les Drs J______, spécialiste FMH en chirurgie, K______, spécialiste FMH en médecine interne et rhumatologie, L______, spécialise FMH en neurologie et I. M______, psychiatre et psychothérapeute, cheffe de clinique. Les trois derniers cités ont rendu leurs conclusions respectivement les 27 octobre 2011 (expertise rhumatologique), 28 octobre 2011 (expertise neurologique) et 2 novembre 2011 (expertise psychiatrique) avant de se livrer à un entretien de synthèse consigné au rapport du 29 novembre 2011. La chambre de céans constate que ce rapport comporte une anamnèse personnelle familiale, personnelle et sociale, une analyse complète du dossier médical et des documents d’imagerie, une description du status sur la base des examens cliniques et du dossier médical ainsi que les données subjectives. Une évaluation en ateliers professionnels a également été effectuée. Sur le plan rhumatologique, le Dr K______ retient qu’en s’en tenant uniquement au système ostéo-articulaire, il ne peut admettre, comme seule anomalie, que les modifications discales C6-C7 (après double opération et mise en place d’une cage intersomatique) et, dans une mesure nettement moindre, C5-C6. Pour le reste, le rachis lombaire, principal site de souffrance selon l’anamnèse, ne présente aucune anomalie. En faisant abstraction du comportement parasite (boiterie robotique difficilement intelligible au plan médical, manifestations inhabituelles telles que contorsions subites, secousses ou lâchages, notamment lors de l’examen du rachis cervical ou de la région pelvienne), tous les mouvements sont amples et ne montrent aucun signe suggérant une lésion spécifique, en particulier un conflit disco-radiculaire lombo-sacré. S’il est vrai que la recourante présente des cervico-brachialgies gauches chroniques (M53.1) en lien avec la mise en place d’une prothèse cervicale le 7 février 2006 et l’ablation ultérieure de celle-ci (spondylodèse par cage et plaques) en 2009 et que ces douleurs ont une répercussion sur la capacité de travail, l’expert considère que la douleur alléguée paraît démesurée au regard du comportement qu’elle adopte en sa présence. Il estime également que pour une personne autonome dans sa vie, ses déplacements et la gestion de son ménage, les projets professionnels de la recourante paraissent peu investis, en ce sens qu’il ne comprend pas pourquoi elle pourrait, selon ses propres dires, travailler au plus trois heures par jour, mais de façon discontinue, dans la gestion d’un établissement public. L’expert retient finalement que si l’on peut admettre que l’atteinte cervicale impose certaines limites quant aux efforts qu’on peut attendre de la recourante, aussi bien en termes de maintien de la posture (une heure avant de changer de position) que de port de charges (pas de charges supérieures à 5 kg de façon répétée), il n’en considère pas moins qu’une activité tenant compte de ces limitations pourrait être exercée à plein temps dès le début de l’année 2010, soit cinq mois après la seconde intervention sur le rachis cervical. Du point de vue neurologique, le Dr L______ ne retient pas de limitation professionnelle. Il précise que l'examen détaillé du 26 octobre 2011 montre des signes de la lignée anxieuse mais ne relève pas d’anomalie objective pouvant expliquer les plaintes de la recourante, dont le schéma de marche très atypique (marche dysrythmique ponctuée de ralentissements et de mouvements latéraux, accompagnés de bons réflexes de rattrapage) fait évoquer une composante fonctionnelle. Ses réflexes ostéo-tendineux sont « normovifs » et présents, sa force conservée. Sur le plan psychique, la Dresse M______ n’objective aucune anomalie ou lésion susceptible d’expliquer le tableau clinique ou tout au moins l’intensité des douleurs. Dans son contact, l’assurée frappe ainsi par son côté démonstratif, l’entretien étant ponctué de soupirs profonds, de grimaces, de mouvements mal coordonnés et brusques de « pantin désarticulé » qui concourent à une impression de théâtralité. L’hyper-expressivité émotionnelle de la recourante ainsi que le côté « bruyant » de sa personnalité, sa tentative permanente de s’adapter à l’interlocuteur, de lui plaire comme un bon sujet d’examen permettent, selon l’experte, de retenir le diagnostic de personnalité histrionique (F 60.4). Elle précise que ce trouble de la personnalité n’a pas en soi de valeur incapacitante, sauf que dans le cas particulier, il est associé à un épisode de trouble dissociatif moteur et sensoriel (F 44.4-44.6) que l’experte motive par la survenue brusque et inexpliquée de phénomènes de lâchage des membres inférieurs, de paralysies intermittentes, de troubles de la vue, de modifications de l’ouïe et de l’odorat, phénomènes tous fugaces qui inspirent peu d’inquiétude et un relatif détachement à la recourante, malgré le caractère « bruyant » des symptômes (paralysie transitoire, trouble sensitif, etc.). Sur la base de ces éléments, l’experte psychiatre explique que le trouble de la personnalité (histrionique) prédispose aux épisodes de dissociations et à l’expression douloureuse et, en fin de compte, entraîne des obstacles à une activité professionnelle. La Dresse M______ en conclut, dans un premier temps, que la capacité de travail était actuellement nulle sur le premier marché du travail, mais que sous forme de mesures de réinsertion dans environnement protégé, elle serait de 50% au moins. Sur question de l’intimé, l’experte psychiatre a confirmé par courrier du 21 mars 2012 que c’étaient bien les manifestations du trouble dissociatif qui étaient responsables de l’incapacité de travail. Suite à une nouvelle interpellation de l’intimé rappelant à l’experte l’assimilation, par la jurisprudence, du syndrome de conversion au trouble somatoforme douloureux, elle a répété, en date du 23 novembre 2012, que le trouble de la personnalité seul n’avait pas de valeur incapacitante. Pour le surplus, elle a indiqué que les critères de gravité jurisprudentiels en matière de troubles somatoformes douloureux n’étaient pas remplis dans l’hypothèse où seul le syndrome de conversion avait une influence sur la capacité de travail. Au regard de ces éléments, la Dresse M______ a affirmé que l’association du trouble de la personnalité au syndrome de conversion conférait à la première pathologie une valeur incapacitante à 40% (diminution de la résistance et du rendement, fatigabilité, difficultés relationnelles). Enfin, sur question de la chambre de céans, la Dresse M______ a précisé que c’était par « maladresse » que son courrier du 23 novembre 2012 mentionnait un taux d’incapacité de 40% en lieu et place d’une « capacité de 50% au moins » (cf. rapport d’expertise du 2 novembre 2011), ajoutant que sur le plan médical, il n’y avait pas de différence significative entre une capacité de 50% au moins et une incapacité de 40% dans un environnement protégé. En effet, même si son courrier du 23 novembre 2012 ne l’avait pas reprécisé, elle n’avait jamais apprécié la capacité de travail de la recourante autrement qu’en fonction d’un tel environnement. Quant aux critères jurisprudentiels de gravité du trouble somatoforme douloureux, ils n’étaient pas – de son point de vue médical – transposables tels quels à un autre diagnostic psychiatrique. Il s’ensuit que l’experte psychiatre n’a pas modifié les conclusions de son rapport d’expertise du 2 novembre 2011. Dans son rapport du 4 mars 2015, le SMR considère en revanche que dans la mesure où les critères jurisprudentiels de sévérité des troubles somatoformes persistants – qu’il juge applicables aux troubles de conversion – ne sont pas remplis, les troubles psychiques de la recourante ne sauraient être incapacitants. Et le SMR d’en déduire qu’il n’existerait pas de possibilité d’envisager une activité uniquement dans un environnement protégé. Cette approche se révèle schématique et réductrice à l’excès. Il n’est certes pas contesté que le Tribunal fédéral a retenu l’applicabilité de sa jurisprudence en matière de troubles somatoformes douloureux aux cas d’anesthésie dissociative et atteintes sensorielles (F44.6 ; arrêt du Tribunal fédéral I 9/07 du 9 février 2007) et qu’il l’a même étendue aux troubles moteurs dissociatifs (F44.4 ; arrêt du Tribunal fédéral 9C_903/2007 ). Cette assimilation a néanmoins ses limites, comme l’attestent les arrêts 9C_676/2009 du 12 janvier 2009 et 9C_573/2009 du 16 décembre 2009 où la question de l’applicabilité de la jurisprudence en matière de troubles somatoformes douloureux à des troubles dissociatifs de conversion mixtes a été laissée ouverte, notamment au regard d’avis médicaux se prononçant contre une telle application (arrêt 9C_676/2008 précité consid. 4.3.1 à 4.3.3). On sera tenté d’objecter que les cas où le Tribunal fédéral ne s’est pas prononcé concernaient des troubles dissociatifs de conversion mixtes (F44.7). Toutefois, en se fondant sur le raisonnement de la Haute Cour, qui postule de traiter de manière égale les cas d’anesthésie dissociative et les troubles moteurs dissociatifs, notamment parce qu’ils relèvent de la même catégorie de la CIM-10, celle des troubles dissociatifs de conversion (F44.- ; arrêt 9C_903/2007 précité, consid. 3.4), on ne voit pas pourquoi le médecin serait entendu sur l’applicabilité de la jurisprudence évoquée aux cas de troubles dissociatifs de conversion mixtes, et qu’il ne le serait pas en présence d’une anesthésie dissociative ou de troubles moteurs dissociatifs. Or, force est de relever qu’en l’espèce, la Dresse M______ a indiqué à deux reprises que de son point de vue médical, les critères jurisprudentiels de gravité du trouble somatoforme douloureux, n’étaient pas transposables tels quels à un autre diagnostic psychiatrique. En second lieu, il convient de relever que dans les arrêts I 9/07 et 9C_903/2007 précités, les troubles dissociatifs en cause n’étaient accompagnés d’aucune comorbidité psychiatrique, contrairement à ce qui est le cas en l’espèce. En troisième lieu, la particularité de la situation de la recourante réside dans le fait que si le trouble de la personnalité – histrionique – n’a pas en soi de valeur incapacitante, c’est son association au syndrome de conversion qui lui confère une valeur incapacitante à 100%, respectivement à 40% dans un environnement protégé (cf. courriers de la Dresse M______ des 21 mars et 23 novembre 2012 et du 20 février 2015). Or, force est de constater que l’intimé, par la formulation de ses questions du 26 juillet 2012 à l’experte, ne tient pas compte de la particularité évoquée puisque la première question, relative à la valeur incapacitante, se rapporte uniquement au trouble de la personnalité et que la seconde concerne exclusivement l’hypothèse dans laquelle seul le syndrome de conversion aurait une influence sur la capacité de travail. Pour le surplus, cette seconde question impose à l’experte de se déterminer à la lumière des critères applicables aux troubles somatoformes, alors même qu’elle avait préalablement signalé que de son point de vue, ces critères n’étaient pas transposables. Compte tenu des réponses données par l’experte le 23 novembre 2012, l’intimé parvient logiquement à la conclusion qu’il n’existe pas de comorbidité psychiatrique importante par sa gravité, son acuité et sa durée et qu’en l’absence d’autres critères présentant une certaine acuité et constance (affection corporelle chronique, perte d’intégration sociale, état psychique cristallisé, échec des traitements conformes aux règles de l’art), la présomption que ces troubles peuvent être surmontés par un effort de volonté raisonnablement exigible n’a pas été renversée, d’où une capacité de travail qui ne serait pas seulement de 40%, mais complète dans une activité adaptée (cf. observations de l’intimé du 12 mars 2015). Ce raisonnement n’est toutefois pas acceptable dans la mesure où il revient à occulter l’interaction existant d’un point de vue médical entre les troubles dissociatifs et le trouble de la personnalité. Si dans l’arrêt 9C_683/2008 précité (cf. supra consid. 9b du présent arrêt), le Tribunal fédéral avait estimé, dans le cas d’une assurée atteinte de fibromyalgie, qu’on ne pouvait qualifier de comorbidité psychiatrique importante la dysthymie et la personnalité à traits histrioniques qui complétaient la liste des diagnostics posés, c’était parce que ni la dysthymie ni les traits de la personnalité relevés par le psychiatre ne présentaient un caractère de gravité tel qu’ils devaient être assimilés à de véritables atteintes à la santé psychique. En effet, ce praticien avait indiqué que seul persistait « tout au plus un très léger fond dysthymique sub-clinique, tandis que les traits de personnalité histrionique décompensés relevaient non pas d’un grave trouble de la personnalité hystérique, mais d’un aménagement assez réussi permettant à l’intéressée de fonctionner ». En l’espèce, la situation est manifestement différente puisque le trouble de la personnalité histrionique prédispose aux épisodes de dissociation et qu’il entraine des obstacles à une activité professionnelle sur le premier marché du travail avec, en particulier, une incapacité d’établir des relations adéquates avec un éventuel employeur (cf. rapport d’expertise psychiatrique du 2 novembre 2011, p. 6). Par ailleurs, il importe de relever que le Tribunal fédéral a tout récemment modifié sa jurisprudence en matière de troubles somatoformes et d’affections assimilées et qu’un point central de ce changement de pratique concerne précisément la renonciation à la présomption du caractère surmontable des douleurs (arrêt du Tribunal fédéral 9C_492/2014 du 3 juin 2015, consid. 3.6). Bien que cette nouvelle jurisprudence ne modifie en rien la portée de l’art. 7 al. 2 LPGA, en ce sens qu’il appartient toujours à la personne assurée de prouver que son incapacité de gain n’est pas objectivement surmontable (même arrêt, consid. 3.7.2), il n’en demeure pas moins que l’incapacité de travail et de gain doit être déterminée en fonction de critères objectifs permettant d’apprécier si, nonobstant les pathologies diagnostiquées, un assuré est en mesure d’exercer une activité adaptée et, dans l’affirmative, à quel taux. En conséquence, il n’y a plus lieu de procéder à un examen distinct ayant pour objet de déterminer le caractère surmontable des douleurs (même arrêt, consid. 3.7.3). De plus, le critère de l’existence d’une comorbidité psychiatrique ne revêt plus la primauté qui était la sienne selon l’ancienne jurisprudence (cf. ATF 139 V 547 consid. 9.1.1) ; désormais, la présence d’une telle comorbidité n’est pertinente qu’en tant qu’elle déploie des effets dans le cas particulier, notamment comme indicateur mesurant à quel point un assuré est privé de ses ressources/aptitudes personnelles pour exercer une activité adaptée et à quel taux (arrêt 9C_492/2014 précité, consid. 3.7.3 et 4.3.1.3). Si les qualificatifs employés sous l’ancienne jurisprudence précisaient la nécessité que cette comorbidité fût « importante par sa gravité, son acuité et sa durée », tel n’est plus le cas sous l’empire de la nouvelle, qui réunit les anciens critères de « comorbidité psychiatrique » ou « corporelle » en un seul indicateur, l’objectif étant d’effectuer une appréciation d’ensemble des interactions (« Wechselwirkungen ») et autres liens existant entre le trouble douloureux en tant que tel et l’ensemble des comorbidités (même arrêt, consid. 4.3.1.3). S’il est vrai que la portée des changements de jurisprudence ne connaît de restrictions qu’en relation avec des décisions déjà entrées en force (cf. ATF 121 V 157 consid. 4b), ce qui n’est pas le cas de la décision querellée, il importe tout de même de relever que l’expertise pluridisciplinaire de la CRR n’a pas été réalisée selon les nouveaux critères fixés par le Tribunal fédéral, de sorte qu’il paraît malaisé a priori, de tirer des arguments choisis de cette nouvelle jurisprudence en dehors de la méthode et du système que celle-ci met en place pour les évaluations médicales futures. Il n’empêche : la critique à l’encontre de l’ancienne jurisprudence que l’arrêt 9C_492/2014 comporte – lequel pointe du doigt des schématismes incompatibles avec la libre appréciation des preuves et l’application du droit d’office (cf. consid. 3.4.2.2) – est parfaitement d’actualité et s’inscrit au cœur des réserves émises par l’experte psychiatre à l’encontre d’une application des anciens critères jurisprudentiels en matière de troubles somatoformes au trouble dissociatif en cause. De plus, compte tenu de l’interaction médicalement objectivée in casu entre le trouble de la personnalité – non incapacitant en soi – et les troubles dissociatifs, il se justifie de lever le doute exprimé par le Tribunal fédéral – en 2009 déjà – sur l’applicabilité de cette jurisprudence aux troubles dissociatifs (arrêt du Tribunal fédéral 9C_676/2008 du 12 janvier 2009 consid. 4.3.1 à 4.3.3) en renonçant au raisonnement par analogie opéré par le Tribunal fédéral dans l’arrêt 9C_903/2007 précité. Il s’ensuit que c’est à tort que le rapport SMR du 4 mars 2015 indique – sur la base de considérations purement juridiques – qu’il n’existe pas de possibilité d’envisager une activité uniquement dans un environnement protégé. Partant, ledit rapport ne permet pas de mettre en doute les conclusions de la Dresse M______ dans leur véritable teneur. b) Sur le plan somatique, les divers rapports dus à la plume du Dr H______ et datés des 12 septembre 2007, 21 février 2008, 26 janvier 2010, 2 décembre 2010, tous pris en compte par les experts, ont pour point commun de faire état d’une incapacité de la recourante de reprendre une activité professionnelle. Ce point de vue s’est maintenu par la suite, soit dans des courriers adressés au conseil de la recourante les 5 mai 2011 (pièce 2 recourante) et 24 juin 2014 (pièce 5 recourante). Cela étant, force est de constater que le courrier du 5 mai 2011 fait état d’un état « globalement assez stationnaire » depuis le 20 octobre 2010 et qu’il ne met en exergue aucun élément médical objectivement vérifiable qui aurait été ignoré par les experts. Il en va de même du courrier du 24 juin 2014 qui relate principalement les douleurs de la recourante « qui connaît toujours la même situation », les traitements antalgiques qu’elle a suivis (thérapie neurale, clonidine) ainsi que ses malaises et chutes déjà appréciés par les experts (cf. notamment pièce 85 intimé, p. 11 et 30). Par ailleurs, le Dr H______ précise que son confrère, le docteur O______, n’a retrouvé aucun déficit neurologique objectif sur le plan clinique et qu’il n’a pas visualisé de complications post-opératoires sur les examens d’imagerie (IRM cervical du 22 octobre 2013). Quant à la discopathie protrusive relevée par le Dr O______ au-dessus du niveau opéré et pour laquelle il ne retient pas d’indication chirurgicale, elle n’explique pas, selon ce praticien, la symptomatologie importante décrite par la recourante. Ainsi, les constatations du Dr O______ rejoignent celles de l’expert L______, étant rappelé que ce dernier n’a pas relevé d’anomalie objective pouvant expliquer les plaintes de l’intéressée. Force est donc de constater que les rapports médicaux figurant au dossier ne permettent pas de remettre en cause les conclusions claires et motivées du rapport d’expertise de la CRR, qui revêt pleine valeur probante. Pour le surplus, les documents produits ne font pas mention de faits nouveaux, survenus postérieurement à l’expertise, qui justifieraient d’autres investigations médicales, notamment sous forme d’une expertise pluridisciplinaire. Par conséquent, la chambre de céans fera siennes les conclusions des experts de la CRR qui, au terme de leur entretien de synthèse, retiennent que la recourante présente, pour des motifs psychiatriques, une incapacité de travail complète depuis juillet 2011 sur le marché ordinaire du travail. 13.    Compte tenu de ce qui précède, et vu en particulier le caractère inchangé de l’incapacité de gain de la recourante en novembre 2011, l’intimé n’était pas fondé à limiter le droit de cette dernière à une rente d’invalidité au 31 janvier 2012 (art. 88a RAI a contrario). ![endif]&gt;![if&gt; En conséquence, il est dit que l’intimé doit poursuivre au-delà du 31 janvier 2012 le versement de la rente entière d’invalidité octroyée dès le 1 er avril 2010. 14.    Bien fondé, le recours est admis.![endif]&gt;![if&gt; 15.    La recourante, qui obtient gain de cause, a droit à une indemnité à titre de participation à ses frais et dépens fixée en l’espèce à CHF 3'000.- (art. 61 let. g LPGA ; art 6 du règlement sur les frais, émoluments et indemnités en procédure administrative du 30 juillet 1986 - RFPA - E 5 10.03).![endif]&gt;![if&gt; 16.    Au vu du sort du litige, un émolument de CHF 1’000.- est mis à la charge de l’intimé (art. 69al. 1 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