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A/2072/2012 vom 30. Oktober 2012</w:t>
      </w:r>
    </w:p>
    <w:p>
      <w:r>
        <w:t>GE Cour de justice, 2012-10-30, FR</w:t>
      </w:r>
    </w:p>
    <w:p>
      <w:r>
        <w:rPr>
          <w:b/>
        </w:rPr>
        <w:t xml:space="preserve">Quelle: </w:t>
      </w:r>
      <w:r>
        <w:t>https://mcp.opencaselaw.ch/entscheid/ge_gerichte_A_2072_2012</w:t>
      </w:r>
    </w:p>
    <w:p>
      <w:r>
        <w:t>FR: GE_GERICHTE A/2072/2012 du 30 octobre 2012</w:t>
      </w:r>
    </w:p>
    <w:p>
      <w:r>
        <w:t>IT: GE_GERICHTE A/2072/2012 del 30 ottobre 2012</w:t>
      </w:r>
    </w:p>
    <w:p>
      <w:pPr>
        <w:pStyle w:val="Heading2"/>
      </w:pPr>
      <w:r>
        <w:t>Erwägungen</w:t>
      </w:r>
    </w:p>
    <w:p>
      <w:r>
        <w:rPr>
          <w:b/>
        </w:rPr>
        <w:t>E. 2</w:t>
      </w:r>
    </w:p>
    <w:p>
      <w:r>
        <w:t>Le 10 mai 2011, l'intéressé a transmis au service du commerce (ci-après : Scom) la formule de demande d’autorisation d’exploiter un taxi de service public en qualité d’indépendant, dûment remplie.</w:t>
      </w:r>
    </w:p>
    <w:p>
      <w:r>
        <w:rPr>
          <w:b/>
        </w:rPr>
        <w:t>E. 3</w:t>
      </w:r>
    </w:p>
    <w:p>
      <w:r>
        <w:t>Le 18 mai 2011, M. D______ a versé au Scom le montant de CHF 82'500.- au titre de la taxe unique, fixée selon l'arrêté du Conseil d’Etat du 19 mai 2010 (ci-après : l’arrêté).</w:t>
      </w:r>
    </w:p>
    <w:p>
      <w:r>
        <w:rPr>
          <w:b/>
        </w:rPr>
        <w:t>E. 4</w:t>
      </w:r>
    </w:p>
    <w:p>
      <w:r>
        <w:t>Le 20 mai 2011, le Scom lui a délivré l'autorisation sollicitée.</w:t>
      </w:r>
    </w:p>
    <w:p>
      <w:r>
        <w:rPr>
          <w:b/>
        </w:rPr>
        <w:t>E. 5</w:t>
      </w:r>
    </w:p>
    <w:p>
      <w:r>
        <w:t>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Les considérants de l’arrêt seront détaillés ci-après en tant que de besoin.</w:t>
      </w:r>
    </w:p>
    <w:p>
      <w:r>
        <w:rPr>
          <w:b/>
        </w:rPr>
        <w:t>E. 6</w:t>
      </w:r>
    </w:p>
    <w:p>
      <w:r>
        <w:t>Se fondant sur l'arrêt susmentionné, M. D______ a demandé au Scom, le 14 décembre 2011, le remboursement de la somme de CHF 42'500.-, seul un montant de CHF 40'000.- pouvant être perçu au titre de la taxe unique.</w:t>
      </w:r>
    </w:p>
    <w:p>
      <w:r>
        <w:rPr>
          <w:b/>
        </w:rPr>
        <w:t>E. 7</w:t>
      </w:r>
    </w:p>
    <w:p>
      <w:r>
        <w:t>Par décision du 4 juin 2012, le Scom a refusé tout remboursement, le montant de CHF 82'500.- ayant été versé à bon droit, la procédure d'obtention du permis de service public étant intervenue pendant la période de validité de l'arrêté. L’Arrêt du Tribunal fédéral annulant l’arrêté ne saurait remettre en cause cet état de fait.</w:t>
      </w:r>
    </w:p>
    <w:p>
      <w:r>
        <w:rPr>
          <w:b/>
        </w:rPr>
        <w:t>E. 8</w:t>
      </w:r>
    </w:p>
    <w:p>
      <w:r>
        <w:t>Par arrêt du 12 juin 2012, définitif ( ATA/379/2012 ), la chambre administrative de la Cour de justice (ci-après : la chambre administrative) a admis le recours d'un chauffeur de taxi s'étant vu délivrer une autorisation d’exploiter un taxi de service public en qualité d’indépendant le 9 mai 2011 après versement de la taxe unique de CHF 82'500.-. Il ressortait des considérants de l'ATF 2C_609/2010 que, dépourvu de base légale ab initio , l'arrêté - qui avait été attaqué dans les trente jours dès sa promulgation pour ce motif - était vicié de telle manière qu'il ne pouvait en aucun cas constituer une cause valable de perception du montant de CHF 82'500.-, cela de son adoption à son annulation. Seule la perception de CHF 40'000.- était légalement justifiée. Le solde de CHF 42'500.- devait être restitué, avec intérêt dès 2011.</w:t>
      </w:r>
    </w:p>
    <w:p>
      <w:r>
        <w:rPr>
          <w:b/>
        </w:rPr>
        <w:t>E. 9</w:t>
      </w:r>
    </w:p>
    <w:p>
      <w:r>
        <w:t>Le 6 juillet 2012, M. D______ a recouru auprès de la chambre administrative contre la décision du 4 juin 2012, concluant à son annulation et à ce que l’Etat de Genève soit condamné à lui rembourser la somme de CHF 42'500.-.</w:t>
      </w:r>
    </w:p>
    <w:p>
      <w:r>
        <w:rPr>
          <w:b/>
        </w:rPr>
        <w:t>E. 10</w:t>
      </w:r>
    </w:p>
    <w:p>
      <w:r>
        <w:t>Le 9 juillet 2012, la chambre administrative a transmis le recours susmentionné au Scom en lui impartissant un délai au 20 juillet 2012, prolongé ultérieurement au 6 août 2012, pour indiquer si, au vu de l' ATA/379/2012 , il persistait dans la décision attaquée.</w:t>
      </w:r>
    </w:p>
    <w:p>
      <w:r>
        <w:rPr>
          <w:b/>
        </w:rPr>
        <w:t>E. 11</w:t>
      </w:r>
    </w:p>
    <w:p>
      <w:r>
        <w:t>Le 31 juillet 2012, le Scom a répondu que la cause étant identique à celle jugée dans l' ATA/379/2012 , il ne persistait pas dans sa décision.</w:t>
      </w:r>
    </w:p>
    <w:p>
      <w:r>
        <w:rPr>
          <w:b/>
        </w:rPr>
        <w:t>E. 12</w:t>
      </w:r>
    </w:p>
    <w:p>
      <w:r>
        <w:t>Le 2 août 2012, le juge délégué a transmis la détermination du Scom à M. D______ en lui fixant un délai au 31 août 2012 pour indiquer s'il maintenait son recours.</w:t>
      </w:r>
    </w:p>
    <w:p>
      <w:r>
        <w:rPr>
          <w:b/>
        </w:rPr>
        <w:t>E. 13</w:t>
      </w:r>
    </w:p>
    <w:p>
      <w:r>
        <w:t>La demande susvisée étant demeurée sans suite, les parties ont été informées le 11 octobre 2012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 ; 1C_76/2009 du 30 avril 2009 consid. 2 ; ATA/195/2007 du 24 avril 2007 consid. 3 et 4 ; ATA/175/2007 du 17 avril 2007 consid. 2a ; ATA/915/2004 du 23 novembre 2004 consid. 2b). La condition de l’intérêt actuel fait défaut en particulier lorsque, par exemple, la décision ou la loi est révoquée ou annulée en cours d’instance (ATF 111 Ib 182 consid. 2 p. 185 ; 110 Ia 140 consid. 2 p. 141/142 ; 104 Ia 487 consid. 2 p. 488 ; ATA/124/2005 du 8 mars 2005 consid. 2). En l'espèce, le Scom a bien indiqué ne pas persister dans la décision querellée. Il ne l'a toutefois formellement ni retirée ni remplacée, de sorte qu'elle déploie toujours ses effets. Le recourant conserve dès lors un intérêt actuel à ce que la cause soit tranchée. 3. Selon l'art. 21 al. 4 de la loi sur les taxis et limousines (transport professionnel de personnes au moyen de voitures automobiles) du 21 janvier 2005 (LTaxis ; RS H 1 30), l'autorisation d'exploiter un taxi de service public en qualité d'indépendant est délivrée contre le paiement d'une taxe unique affectée à un fonds constitué aux fins d'améliorer les conditions sociales de la profession de chauffeur de taxi et de réguler le nombre de permis.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L'art. 21 al. 6 du règlement d’exécution de la LTaxis (RTaxis – H 1 30.01) prévoit que la taxe pour la délivrance d’un permis de service public peut être fixée à un montant maximum de CHF 200'000.-. 4. Le 19 mai 2010, se fondant notamment sur l'art. 21 al. 6 LTaxis, le Conseil d'Etat a adopté l'arrêté fixant la taxe unique à CHF 82'500.-. Cet arrêté a été annulé le 18 juin 2011 par le Tribunal fédéral, dès lors qu'il ne reposait pas sur une base légale formelle suffisante, exigence nécessaire pour percevoir ce type de taxe. En conséquence, la perception de ladite taxe ne peut se fonder que sur l'art. 21 al. 6 LTaxis, qui fixe son montant à CHF 40'000.-. 5. Dans l' ATA/379/2012 , la chambre administrative a jugé que l'arrêté ne pouvait en aucune manière avoir constitué une cause valable de perception du montant de CHF 82'500.-. Si une autorisation d'exploiter un taxi de service public en qualité d'indépendant avait été délivrée contre le paiement d'une taxe de CHF 82'500.-, le montant dépassant CHF 40'000.- devait être remboursé ( ATA/379/2012 déjà cité). Tel est le cas en l'espèce, le Scom ayant encaissé un montant de CHF 82'500.-, dont seule la perception de CHF 40'000.- était légalement justifiée. Le solde de CHF 42'500.- doit ainsi être restitué, avec intérêt à 5 % dès le 18 mai 2011. Le Scom y sera condamné en tant que de besoin. 6. Au vu de ce qui précède, le recours doit être admis et la décision du Scom annulée. Malgré l’issue du litige, aucun émolument ne sera mis à la charge du Scom (art. 87 al. 1 LPA). Une indemnité de procédure de CHF 1'000.-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