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A/2064/2007 vom 10. Mai 2007</w:t>
      </w:r>
    </w:p>
    <w:p>
      <w:r>
        <w:t>GE Cour de justice, 2007-05-10, FR</w:t>
      </w:r>
    </w:p>
    <w:p>
      <w:r>
        <w:rPr>
          <w:b/>
        </w:rPr>
        <w:t xml:space="preserve">Quelle: </w:t>
      </w:r>
      <w:r>
        <w:t>https://mcp.opencaselaw.ch/entscheid/ge_gerichte_A_2064_2007</w:t>
      </w:r>
    </w:p>
    <w:p>
      <w:r>
        <w:t>FR: GE_GERICHTE A/2064/2007 du 10 mai 2007</w:t>
      </w:r>
    </w:p>
    <w:p>
      <w:r>
        <w:t>IT: GE_GERICHTE A/2064/2007 del 10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10 mai 2007, la commission cantonale de recours de police des étrangers (ci-après  : CCRPE) a confirmé pour un mois, soit jusqu’au 9 juin 2007, l’ordre de mise en détention administrative prononcé par le commissaire de police le 9 mai 2007 à l’encontre de Monsieur S_______. Cette décision a été notifiée en mains propres à M. S_______ à l’issue de l’audience de la CCRPE le 10 mai 2007.</w:t>
      </w:r>
    </w:p>
    <w:p>
      <w:r>
        <w:rPr>
          <w:b/>
        </w:rPr>
        <w:t>E. 2</w:t>
      </w:r>
    </w:p>
    <w:p>
      <w:r>
        <w:t>Par acte posté le 25 mai 2007 et envoyé à l’un des juges de la CCRPE mais à l’adresse du Tribunal administratif qui a reçu ce document le 29 mai 2007, M. S_______ a demandé à être libéré pour 24 heures, ce qui devrait lui permettre de quitter la Suisse définitivement.</w:t>
      </w:r>
    </w:p>
    <w:p>
      <w:r>
        <w:rPr>
          <w:b/>
        </w:rPr>
        <w:t>E. 3</w:t>
      </w:r>
    </w:p>
    <w:p>
      <w:r>
        <w:t>En revanche, le recours peut constituer une demande de levée de détention, laquelle n’est soumise à aucun délai. En application de l’article 8 alinéa 5 LaLSEE, le dossier sera donc transmis à la CCRPE pour raison de compétence.</w:t>
      </w:r>
    </w:p>
    <w:p>
      <w:r>
        <w:rPr>
          <w:b/>
        </w:rPr>
        <w:t>E. 4</w:t>
      </w:r>
    </w:p>
    <w:p>
      <w:r>
        <w:t>Vu la situation financière du recourant, il ne sera pas perçu d’émolument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