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A/2062/2016 vom 18. Juli 2017</w:t>
      </w:r>
    </w:p>
    <w:p>
      <w:r>
        <w:t>GE Cour de justice, 2017-07-18, FR</w:t>
      </w:r>
    </w:p>
    <w:p>
      <w:r>
        <w:rPr>
          <w:b/>
        </w:rPr>
        <w:t xml:space="preserve">Quelle: </w:t>
      </w:r>
      <w:r>
        <w:t>https://mcp.opencaselaw.ch/entscheid/ge_gerichte_A_2062_2016</w:t>
      </w:r>
    </w:p>
    <w:p>
      <w:r>
        <w:t>FR: GE_GERICHTE A/2062/2016 du 18 juillet 2017</w:t>
      </w:r>
    </w:p>
    <w:p>
      <w:r>
        <w:t>IT: GE_GERICHTE A/2062/2016 del 18 luglio 2017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ème section dans la cause SOCIÉTÉ IMMOBILIÈRE A______ représentée par Me Patrick Blaser, avocat contre DÉPARTEMENT DE L'AMÉNAGEMENT, DU LOGEMENT ET DE L'ÉNERGIE _________ Recours contre le jugement du Tribunal administratif de première instance du 22 décembre 2016 ( JTAPI/1365/2016 ) EN FAIT 1) a. La Société immobilière A______ (ci-après : la société) est propriétaire de la parcelle n o 1______ du cadastre de la commune de B______, d’une surface de 58'527 m 2 , située en zone villas.![endif]&gt;![if&gt; Sur ce terrain sont édifiés une habitation à un logement ayant pour adresse le C______, des bureaux situés au D______ ainsi qu’une serre et divers autres bâtiments de moindre importance. b. Cette parcelle est concernée par le plan directeur de quartier 2______ « D______ », adopté par le Conseil d’État le 23 mars 2005 (ci-après : PDQ). Elle est intégrée dans le projet structurant appelé « E______ », lequel tend à créer une large allée arborée destinée à la mobilité douce entre la route de F______, l’Organisation J______ (ci-après : J______) et le village de G______. Entre ces deux derniers points, le tracé idéal passe en lisière des bois, au bas du parc de H______, pour atteindre le jardin du I______et les serres de G______ (cf. rapport final d’étude du PDQ, p. 60 ss, en particulier p. 78, disponible à l’adresse http://ge.ch/amenagement/pdq-jardin-des-nations). 2) Le 25 mars 2015, le département de l’aménagement, du logement et de l’énergie (ci-après : DALE ou le département) a délivré à la société, à sa demande, une autorisation définitive de construire lui permettant la création d’aménagements extérieurs tels que étang, bassin d’agrément, ruisseau, merlons et portail. ![endif]&gt;![if&gt; Les plans visés ne varietur mettaient en évidence une bande de terrain le long de la limite sud-est de la parcelle, hachurée en vert et portant la mention « Cours des Nobel ». La condition n o</w:t>
      </w:r>
    </w:p>
    <w:p>
      <w:r>
        <w:rPr>
          <w:b/>
        </w:rPr>
        <w:t>E. 7</w:t>
      </w:r>
    </w:p>
    <w:p>
      <w:r>
        <w:t>Toutefois, le dossier démontre que tel n’est pas intégralement le cas. L’autorisation, qui n’a pas été contestée, est devenue définitive et exécutoire. L’ouverture du chantier a été annoncée et certains éléments de ce dernier, soit le merlon et le portail d’entrée, ont été effectivement réalisés.![endif]&gt;![if&gt; Dans ces circonstances, l’autorisation a été partiellement exécutée, et l’exigence, par l’autorité, du respect de la condition n o 7, qui a force de chose décidée, ne prête pas le flanc à la critique. 7) Au vu de ce qui précède, le recours sera rejeté.![endif]&gt;![if&gt; 8) Un émolument de CHF 1'500.- sera mis à la charge de la recourante, qui succombe (art. 87 al. 1 LPA). Aucune indemnité de procédure ne sera allouée (art. 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