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A/2061/2012 vom 27. August 2012</w:t>
      </w:r>
    </w:p>
    <w:p>
      <w:r>
        <w:t>GE Cour de justice, 2012-08-27, FR</w:t>
      </w:r>
    </w:p>
    <w:p>
      <w:r>
        <w:rPr>
          <w:b/>
        </w:rPr>
        <w:t xml:space="preserve">Quelle: </w:t>
      </w:r>
      <w:r>
        <w:t>https://mcp.opencaselaw.ch/entscheid/ge_gerichte_A_2061_2012</w:t>
      </w:r>
    </w:p>
    <w:p>
      <w:r>
        <w:t>FR: GE_GERICHTE A/2061/2012 du 27 août 2012</w:t>
      </w:r>
    </w:p>
    <w:p>
      <w:r>
        <w:t>IT: GE_GERICHTE A/2061/2012 del 27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b de la loi sur la procédure administrative du 12 septembre 1985 - LPA - E 5 10).</w:t>
      </w:r>
    </w:p>
    <w:p>
      <w:r>
        <w:rPr>
          <w:b/>
        </w:rPr>
        <w:t>E. 2</w:t>
      </w:r>
    </w:p>
    <w:p>
      <w:r>
        <w:t>Aux termes des art. 17 al. 1 de l’Accord intercantonal sur les marchés publics du 25 novembre 1994 (AIMP - L 6 05) et 58 al. 1 du règlement sur la passation des marchés publics du 17 décembre 2007 (RMP - L 6 05.01), le recours n’a pas d’effet suspensif. Toutefois, l’autorité de recours peut, d’office ou sur demande, restituer cet effet pour autant qu’il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Zürich 2010, pp. 311-341, n. 15 p. 317). La restitution de l’effet suspensif constitue cependant une exception en matière de marchés publics et représente une mesure dont les conditions ne peuvent être admises qu’avec restriction ( ATA/383/2012 du 13 juin 2012 consid. 3 ; ATA/76/2012 du 7 février 2012 consid. 2 ; ATA/752/2011 du 8 décembre 2011 ; ATA/614/2011 du 28 septembre 2011 consid. 2 ; ATA/214/2011 du 1er avril 2011, et la jurisprudence citée).</w:t>
      </w:r>
    </w:p>
    <w:p>
      <w:r>
        <w:rPr>
          <w:b/>
        </w:rPr>
        <w:t>E. 3</w:t>
      </w:r>
    </w:p>
    <w:p>
      <w:r>
        <w:t>Par rapport à l’examen prima facie qui prévaut dans le cadre de l’estimation des chances de succès du recours, les principaux griefs développés au fond se rapportent au fait que l’autorité adjudicatrice n’aurait pas interpellé le recourant avant d’écarter son offre avant évaluation et au fait que ladite offre aurait soutenu la comparaison avec celle de l’adjudicataire si elle avait été évaluée, voire l’aurait emporté car inférieure de CHF 100'000.-. Force est toutefois de constater que l’autorité adjudicatrice indique avoir écarté l’offre du consortium car le système proposé ne correspondait pas à un système à godets. Face à la position étayée par pièces du département, le consortium n’a pas contesté ni démontré que son système pouvait être similaire à celui exigé. Il se contente de soutenir qu’il a fourni une offre de base et des variantes. Dès lors, le recours ne paraît pas suffisamment fondé sur ce point pour permettre une restitution de l’effet suspensif. Quant au fait que son offre serait au moins équivalente, voire supérieure, à celle de l’adjudicataire, est à ce stade une simple allégation. L’examen de cette dernière supposerait que l’on admette que l’exclusion du consortium était injustifiée, ce qui, vu ce qui précède, est peu probable.</w:t>
      </w:r>
    </w:p>
    <w:p>
      <w:r>
        <w:rPr>
          <w:b/>
        </w:rPr>
        <w:t>E. 4</w:t>
      </w:r>
    </w:p>
    <w:p>
      <w:r>
        <w:t>L’autorité adjudicatrice fait valoir un intérêt public à l’exécution rapide des travaux en raison de graves problèmes d’infiltration, qui prime le seul intérêt privé du consortium à obtenir le marché.</w:t>
      </w:r>
    </w:p>
    <w:p>
      <w:r>
        <w:rPr>
          <w:b/>
        </w:rPr>
        <w:t>E. 5</w:t>
      </w:r>
    </w:p>
    <w:p>
      <w:r>
        <w:t>La restitution de l’effet suspensif sera refusée. Le sort des frais de la procédure sera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Bénédict Fontanet, avocat du recourant, ainsi qu'au département de l’urbanisme.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