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A/2056/2016 vom 12. Juli 2016</w:t>
      </w:r>
    </w:p>
    <w:p>
      <w:r>
        <w:t>GE Cour de justice, 2016-07-12, FR</w:t>
      </w:r>
    </w:p>
    <w:p>
      <w:r>
        <w:rPr>
          <w:b/>
        </w:rPr>
        <w:t xml:space="preserve">Quelle: </w:t>
      </w:r>
      <w:r>
        <w:t>https://mcp.opencaselaw.ch/entscheid/ge_gerichte_A_2056_2016</w:t>
      </w:r>
    </w:p>
    <w:p>
      <w:r>
        <w:t>FR: GE_GERICHTE A/2056/2016 du 12 juillet 2016</w:t>
      </w:r>
    </w:p>
    <w:p>
      <w:r>
        <w:t>IT: GE_GERICHTE A/2056/2016 del 12 luglio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Cette décision, qui comporte la mention des voie et délai de recours, a été communiquée par pli recommandé à sa destinataire. ![endif]&gt;![if&gt; Selon les suivis d’envoi de la Poste suisse et de l’entreprise postale italienne, le courrier a quitté la Suisse le 26 avril 2016, a fait l’objet d’une tentative de distribution le 29 avril 2016 puis a été distribué le 5 mai 2016.</w:t>
      </w:r>
    </w:p>
    <w:p>
      <w:r>
        <w:rPr>
          <w:b/>
        </w:rPr>
        <w:t>E. 3</w:t>
      </w:r>
    </w:p>
    <w:p>
      <w:r>
        <w:t>Par acte daté du 9 juin 2016 mais mis à la poste italienne le 10 juin 2016, A______ a adressé à l’OCIRT et à la chambre administrative une demande de reconsidération. Il a été reçu le 21 juin 2016. ![endif]&gt;![if&gt;</w:t>
      </w:r>
    </w:p>
    <w:p>
      <w:r>
        <w:rPr>
          <w:b/>
        </w:rPr>
        <w:t>E. 4</w:t>
      </w:r>
    </w:p>
    <w:p>
      <w:r>
        <w:t>En tant que l’acte porte la mention « demande de reconsidération » et est également adressé à l’OCIRT, il sera transmis à cette autorité pour raison de compétence (art. 11 al. 3, 48 et 64 al. 2 LPA).![endif]&gt;![if&gt;</w:t>
      </w:r>
    </w:p>
    <w:p>
      <w:r>
        <w:rPr>
          <w:b/>
        </w:rPr>
        <w:t>E. 5</w:t>
      </w:r>
    </w:p>
    <w:p>
      <w:r>
        <w:t>Vu l’issue du litige, il ne sera pas perçu d’émolument ni alloué d’indemnité de procédure (art. 87 al. 1 et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